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2" w:lineRule="exact"/>
        <w:rPr>
          <w:sz w:val="24"/>
          <w:szCs w:val="24"/>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Filed Pursuant to Rule 424(b)(7)</w:t>
      </w:r>
    </w:p>
    <w:p>
      <w:pPr>
        <w:spacing w:after="0" w:line="25" w:lineRule="exact"/>
        <w:rPr>
          <w:sz w:val="24"/>
          <w:szCs w:val="24"/>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Registration No. 333-293494</w:t>
      </w:r>
    </w:p>
    <w:p>
      <w:pPr>
        <w:spacing w:after="0" w:line="166"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3"/>
          <w:szCs w:val="13"/>
          <w:b w:val="1"/>
          <w:bCs w:val="1"/>
          <w:u w:val="single" w:color="auto"/>
          <w:color w:val="auto"/>
        </w:rPr>
        <w:t>PROSPECTUS SUPPLEMENT</w:t>
      </w:r>
    </w:p>
    <w:p>
      <w:pPr>
        <w:spacing w:after="0" w:line="18"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3"/>
          <w:szCs w:val="13"/>
          <w:b w:val="1"/>
          <w:bCs w:val="1"/>
          <w:color w:val="auto"/>
        </w:rPr>
        <w:t>(To Prospectus dated February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3011805</wp:posOffset>
            </wp:positionH>
            <wp:positionV relativeFrom="paragraph">
              <wp:posOffset>130175</wp:posOffset>
            </wp:positionV>
            <wp:extent cx="1144270" cy="403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44270" cy="4038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3,425,031</w:t>
      </w:r>
    </w:p>
    <w:p>
      <w:pPr>
        <w:spacing w:after="0" w:line="16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4"/>
          <w:szCs w:val="34"/>
          <w:b w:val="1"/>
          <w:bCs w:val="1"/>
          <w:color w:val="auto"/>
        </w:rPr>
        <w:t>Digital Realty Trust, Inc.</w:t>
      </w:r>
    </w:p>
    <w:p>
      <w:pPr>
        <w:spacing w:after="0" w:line="188"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191135</wp:posOffset>
            </wp:positionV>
            <wp:extent cx="1157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1320"/>
        <w:spacing w:after="0"/>
        <w:rPr>
          <w:sz w:val="20"/>
          <w:szCs w:val="20"/>
          <w:color w:val="auto"/>
        </w:rPr>
      </w:pPr>
      <w:r>
        <w:rPr>
          <w:rFonts w:ascii="Times New Roman" w:cs="Times New Roman" w:eastAsia="Times New Roman" w:hAnsi="Times New Roman"/>
          <w:sz w:val="13"/>
          <w:szCs w:val="13"/>
          <w:color w:val="auto"/>
        </w:rPr>
        <w:t>This prospectus supplement relates to the potential resale from time to time by the selling stockholders identified in this prospectus supplement of some or all</w:t>
      </w:r>
    </w:p>
    <w:p>
      <w:pPr>
        <w:spacing w:after="0" w:line="16" w:lineRule="exact"/>
        <w:rPr>
          <w:sz w:val="24"/>
          <w:szCs w:val="24"/>
          <w:color w:val="auto"/>
        </w:rPr>
      </w:pPr>
    </w:p>
    <w:p>
      <w:pPr>
        <w:ind w:left="1320" w:right="299"/>
        <w:spacing w:after="0" w:line="258" w:lineRule="auto"/>
        <w:rPr>
          <w:sz w:val="20"/>
          <w:szCs w:val="20"/>
          <w:color w:val="auto"/>
        </w:rPr>
      </w:pPr>
      <w:r>
        <w:rPr>
          <w:rFonts w:ascii="Times New Roman" w:cs="Times New Roman" w:eastAsia="Times New Roman" w:hAnsi="Times New Roman"/>
          <w:sz w:val="13"/>
          <w:szCs w:val="13"/>
          <w:color w:val="auto"/>
        </w:rPr>
        <w:t>of 3,425,031 shares of our common stock, $0.01 par value per share (“common stock”). The registration of the shares of common stock covered by this prospectus supplement does not necessarily mean that any of the shares will be offered or sold by the selling stockholders. The selling stockholders acquired the shares of common stock on October 20, 2026 pursuant to the transactions contemplated in that certain share purchase agreement, by and among us, Digital Titan 2 (PTY) LTD and TDE Luxco (the “Purchase Agreement”). We issued the shares in reliance upon the exemption from registration afforded by Section 4(a)(2) of the Securities Act of 1933, as amended (the “Securities Act”), and are registering such shares pursuant to the Purchase Agreement. For information regarding the Selling Stockholders, please refer to the section entitled “Selling Stockholders” on page S-8 of this prospectus supplement.</w:t>
      </w:r>
    </w:p>
    <w:p>
      <w:pPr>
        <w:spacing w:after="0" w:line="153" w:lineRule="exact"/>
        <w:rPr>
          <w:sz w:val="24"/>
          <w:szCs w:val="24"/>
          <w:color w:val="auto"/>
        </w:rPr>
      </w:pPr>
    </w:p>
    <w:p>
      <w:pPr>
        <w:ind w:left="1320" w:right="259"/>
        <w:spacing w:after="0" w:line="280" w:lineRule="auto"/>
        <w:rPr>
          <w:sz w:val="20"/>
          <w:szCs w:val="20"/>
          <w:color w:val="auto"/>
        </w:rPr>
      </w:pPr>
      <w:r>
        <w:rPr>
          <w:rFonts w:ascii="Times New Roman" w:cs="Times New Roman" w:eastAsia="Times New Roman" w:hAnsi="Times New Roman"/>
          <w:sz w:val="13"/>
          <w:szCs w:val="13"/>
          <w:color w:val="auto"/>
        </w:rPr>
        <w:t>We are not selling any shares of common stock under this prospectus supplement and will not receive any proceeds from the resale of shares by the selling stockholders, but we have agreed to pay certain registration expenses. See “Use of Proceeds.”</w:t>
      </w:r>
    </w:p>
    <w:p>
      <w:pPr>
        <w:spacing w:after="0" w:line="139" w:lineRule="exact"/>
        <w:rPr>
          <w:sz w:val="24"/>
          <w:szCs w:val="24"/>
          <w:color w:val="auto"/>
        </w:rPr>
      </w:pPr>
    </w:p>
    <w:p>
      <w:pPr>
        <w:ind w:left="1320" w:right="259"/>
        <w:spacing w:after="0" w:line="261" w:lineRule="auto"/>
        <w:rPr>
          <w:sz w:val="20"/>
          <w:szCs w:val="20"/>
          <w:color w:val="auto"/>
        </w:rPr>
      </w:pPr>
      <w:r>
        <w:rPr>
          <w:rFonts w:ascii="Times New Roman" w:cs="Times New Roman" w:eastAsia="Times New Roman" w:hAnsi="Times New Roman"/>
          <w:sz w:val="13"/>
          <w:szCs w:val="13"/>
          <w:color w:val="auto"/>
        </w:rPr>
        <w:t>The selling stockholders identified in this prospectus supplement (which term as used herein includes their pledgees, donees, transferees, or other successors in interest), may offer the securities from time to time as they may determine directly or through underwriters, broker-dealers or agents and in one or more public or private transactions and at fixed prices, prevailing market prices, at prices related to prevailing market prices or at negotiated prices. If the securities are sold through underwriters, broker-dealers or agents, the selling stockholders will be responsible for underwriting discounts or commissions or agents’ commissions. See the sections entitled “Plan of Distribution” and “About this Prospectus Supplement and the Prospectus” for more information.</w:t>
      </w:r>
    </w:p>
    <w:p>
      <w:pPr>
        <w:spacing w:after="0" w:line="152" w:lineRule="exact"/>
        <w:rPr>
          <w:sz w:val="24"/>
          <w:szCs w:val="24"/>
          <w:color w:val="auto"/>
        </w:rPr>
      </w:pPr>
    </w:p>
    <w:p>
      <w:pPr>
        <w:ind w:left="1320" w:right="339"/>
        <w:spacing w:after="0" w:line="267" w:lineRule="auto"/>
        <w:rPr>
          <w:sz w:val="20"/>
          <w:szCs w:val="20"/>
          <w:color w:val="auto"/>
        </w:rPr>
      </w:pPr>
      <w:r>
        <w:rPr>
          <w:rFonts w:ascii="Times New Roman" w:cs="Times New Roman" w:eastAsia="Times New Roman" w:hAnsi="Times New Roman"/>
          <w:sz w:val="13"/>
          <w:szCs w:val="13"/>
          <w:color w:val="auto"/>
        </w:rPr>
        <w:t>We are organized and conduct our operations to qualify as a real estate investment trust (“REIT”), for U.S. federal income tax purposes. To assist us in complying with certain federal income tax requirements applicable to REITs, our charter contains certain restrictions relating to the ownership and transfer of our stock, including an ownership limit of 9.8% (by value or by number of shares, whichever is more restrictive) on the outstanding shares of our common stock.</w:t>
      </w:r>
    </w:p>
    <w:p>
      <w:pPr>
        <w:spacing w:after="0" w:line="148" w:lineRule="exact"/>
        <w:rPr>
          <w:sz w:val="24"/>
          <w:szCs w:val="24"/>
          <w:color w:val="auto"/>
        </w:rPr>
      </w:pPr>
    </w:p>
    <w:p>
      <w:pPr>
        <w:ind w:left="1320" w:right="599"/>
        <w:spacing w:after="0" w:line="280" w:lineRule="auto"/>
        <w:rPr>
          <w:sz w:val="20"/>
          <w:szCs w:val="20"/>
          <w:color w:val="auto"/>
        </w:rPr>
      </w:pPr>
      <w:r>
        <w:rPr>
          <w:rFonts w:ascii="Times New Roman" w:cs="Times New Roman" w:eastAsia="Times New Roman" w:hAnsi="Times New Roman"/>
          <w:sz w:val="13"/>
          <w:szCs w:val="13"/>
          <w:color w:val="auto"/>
        </w:rPr>
        <w:t>Our common stock is listed on the New York Stock Exchange under the symbol “DLR”. The last reported sale price of our common stock on the New York Stock Exchange on October 29, 2026 was $182.91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168910</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both"/>
        <w:ind w:left="1320" w:right="419"/>
        <w:spacing w:after="0" w:line="333" w:lineRule="auto"/>
        <w:rPr>
          <w:sz w:val="20"/>
          <w:szCs w:val="20"/>
          <w:color w:val="auto"/>
        </w:rPr>
      </w:pPr>
      <w:r>
        <w:rPr>
          <w:rFonts w:ascii="Times New Roman" w:cs="Times New Roman" w:eastAsia="Times New Roman" w:hAnsi="Times New Roman"/>
          <w:sz w:val="14"/>
          <w:szCs w:val="14"/>
          <w:b w:val="1"/>
          <w:bCs w:val="1"/>
          <w:color w:val="auto"/>
        </w:rPr>
        <w:t>Investing in our common stock involves risks.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S- 6 of this prospectus supplement and the matters discussed in the documents incorporated by reference in this prospectus supplement and the accompanying prospectus.</w:t>
      </w:r>
    </w:p>
    <w:p>
      <w:pPr>
        <w:spacing w:after="0" w:line="91" w:lineRule="exact"/>
        <w:rPr>
          <w:sz w:val="24"/>
          <w:szCs w:val="24"/>
          <w:color w:val="auto"/>
        </w:rPr>
      </w:pPr>
    </w:p>
    <w:p>
      <w:pPr>
        <w:ind w:left="1320" w:right="259"/>
        <w:spacing w:after="0" w:line="269" w:lineRule="auto"/>
        <w:rPr>
          <w:sz w:val="20"/>
          <w:szCs w:val="20"/>
          <w:color w:val="auto"/>
        </w:rPr>
      </w:pPr>
      <w:r>
        <w:rPr>
          <w:rFonts w:ascii="Times New Roman" w:cs="Times New Roman" w:eastAsia="Times New Roman" w:hAnsi="Times New Roman"/>
          <w:sz w:val="13"/>
          <w:szCs w:val="13"/>
          <w:b w:val="1"/>
          <w:bCs w:val="1"/>
          <w:color w:val="auto"/>
        </w:rPr>
        <w:t>Neither the U.S. Securities and Exchange Commission (the “SEC”) nor any state securities commission, nor any other regulatory body has approved or disapproved of these securities or passed on the adequacy or accuracy of this prospectus supplement and the prospectus to which it relates.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3004820</wp:posOffset>
            </wp:positionH>
            <wp:positionV relativeFrom="paragraph">
              <wp:posOffset>167005</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The date of this prospectus supplement is October 30, 2026.</w:t>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0" w:type="dxa"/>
            <w:vAlign w:val="bottom"/>
            <w:gridSpan w:val="3"/>
          </w:tcPr>
          <w:p>
            <w:pPr>
              <w:jc w:val="center"/>
              <w:ind w:right="140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9"/>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0" w:type="dxa"/>
            <w:vAlign w:val="bottom"/>
            <w:gridSpan w:val="3"/>
          </w:tcPr>
          <w:p>
            <w:pPr>
              <w:jc w:val="center"/>
              <w:ind w:right="1380"/>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31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4"/>
                <w:szCs w:val="14"/>
                <w:color w:val="0000EE"/>
              </w:rPr>
              <w:t>About This Prospectus Supplement and the Prospectus</w:t>
            </w:r>
          </w:p>
        </w:tc>
        <w:tc>
          <w:tcPr>
            <w:tcW w:w="3800" w:type="dxa"/>
            <w:vAlign w:val="bottom"/>
            <w:gridSpan w:val="3"/>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50"/>
        </w:trPr>
        <w:tc>
          <w:tcPr>
            <w:tcW w:w="166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w w:val="99"/>
              </w:rPr>
              <w:t>Forward-Looking Statements</w:t>
            </w:r>
          </w:p>
        </w:tc>
        <w:tc>
          <w:tcPr>
            <w:tcW w:w="5260" w:type="dxa"/>
            <w:vAlign w:val="bottom"/>
            <w:gridSpan w:val="13"/>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146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150"/>
        </w:trPr>
        <w:tc>
          <w:tcPr>
            <w:tcW w:w="74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7"/>
              </w:rPr>
              <w:t>The Offering</w:t>
            </w:r>
          </w:p>
        </w:tc>
        <w:tc>
          <w:tcPr>
            <w:tcW w:w="1160" w:type="dxa"/>
            <w:vAlign w:val="bottom"/>
            <w:tcBorders>
              <w:top w:val="single" w:sz="8" w:color="0000EE"/>
            </w:tcBorders>
            <w:gridSpan w:val="14"/>
          </w:tcPr>
          <w:p>
            <w:pPr>
              <w:spacing w:after="0"/>
              <w:rPr>
                <w:sz w:val="13"/>
                <w:szCs w:val="13"/>
                <w:color w:val="auto"/>
              </w:rPr>
            </w:pPr>
          </w:p>
        </w:tc>
        <w:tc>
          <w:tcPr>
            <w:tcW w:w="5020" w:type="dxa"/>
            <w:vAlign w:val="bottom"/>
            <w:gridSpan w:val="9"/>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S-5</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146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92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8"/>
              </w:rPr>
              <w:t>Use of Proceeds</w:t>
            </w:r>
          </w:p>
        </w:tc>
        <w:tc>
          <w:tcPr>
            <w:tcW w:w="6000" w:type="dxa"/>
            <w:vAlign w:val="bottom"/>
            <w:gridSpan w:val="20"/>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150"/>
        </w:trPr>
        <w:tc>
          <w:tcPr>
            <w:tcW w:w="1180" w:type="dxa"/>
            <w:vAlign w:val="bottom"/>
            <w:tcBorders>
              <w:bottom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w w:val="99"/>
              </w:rPr>
              <w:t>Selling Stockholders</w:t>
            </w:r>
          </w:p>
        </w:tc>
        <w:tc>
          <w:tcPr>
            <w:tcW w:w="5740" w:type="dxa"/>
            <w:vAlign w:val="bottom"/>
            <w:gridSpan w:val="18"/>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S-8</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50"/>
        </w:trPr>
        <w:tc>
          <w:tcPr>
            <w:tcW w:w="1120" w:type="dxa"/>
            <w:vAlign w:val="bottom"/>
            <w:tcBorders>
              <w:top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5800" w:type="dxa"/>
            <w:vAlign w:val="bottom"/>
            <w:gridSpan w:val="19"/>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150"/>
        </w:trPr>
        <w:tc>
          <w:tcPr>
            <w:tcW w:w="4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8"/>
              </w:rPr>
              <w:t>Experts</w:t>
            </w:r>
          </w:p>
        </w:tc>
        <w:tc>
          <w:tcPr>
            <w:tcW w:w="340" w:type="dxa"/>
            <w:vAlign w:val="bottom"/>
            <w:tcBorders>
              <w:top w:val="single" w:sz="8" w:color="0000EE"/>
            </w:tcBorders>
            <w:gridSpan w:val="3"/>
          </w:tcPr>
          <w:p>
            <w:pPr>
              <w:spacing w:after="0"/>
              <w:rPr>
                <w:sz w:val="13"/>
                <w:szCs w:val="13"/>
                <w:color w:val="auto"/>
              </w:rPr>
            </w:pPr>
          </w:p>
        </w:tc>
        <w:tc>
          <w:tcPr>
            <w:tcW w:w="6140" w:type="dxa"/>
            <w:vAlign w:val="bottom"/>
            <w:gridSpan w:val="22"/>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50"/>
        </w:trPr>
        <w:tc>
          <w:tcPr>
            <w:tcW w:w="2240" w:type="dxa"/>
            <w:vAlign w:val="bottom"/>
            <w:tcBorders>
              <w:top w:val="single" w:sz="8" w:color="0000EE"/>
            </w:tcBorders>
            <w:gridSpan w:val="18"/>
          </w:tcPr>
          <w:p>
            <w:pPr>
              <w:spacing w:after="0" w:line="150" w:lineRule="exact"/>
              <w:rPr>
                <w:sz w:val="20"/>
                <w:szCs w:val="20"/>
                <w:color w:val="auto"/>
              </w:rPr>
            </w:pPr>
            <w:r>
              <w:rPr>
                <w:rFonts w:ascii="Times New Roman" w:cs="Times New Roman" w:eastAsia="Times New Roman" w:hAnsi="Times New Roman"/>
                <w:sz w:val="14"/>
                <w:szCs w:val="14"/>
                <w:color w:val="0000EE"/>
              </w:rPr>
              <w:t>Incorporation By Reference</w:t>
            </w:r>
          </w:p>
        </w:tc>
        <w:tc>
          <w:tcPr>
            <w:tcW w:w="4680" w:type="dxa"/>
            <w:vAlign w:val="bottom"/>
            <w:gridSpan w:val="8"/>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S-15</w:t>
            </w:r>
          </w:p>
        </w:tc>
        <w:tc>
          <w:tcPr>
            <w:tcW w:w="0" w:type="dxa"/>
            <w:vAlign w:val="bottom"/>
          </w:tcPr>
          <w:p>
            <w:pPr>
              <w:spacing w:after="0"/>
              <w:rPr>
                <w:sz w:val="1"/>
                <w:szCs w:val="1"/>
                <w:color w:val="auto"/>
              </w:rPr>
            </w:pPr>
          </w:p>
        </w:tc>
      </w:tr>
      <w:tr>
        <w:trPr>
          <w:trHeight w:val="520"/>
        </w:trPr>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60" w:type="dxa"/>
            <w:vAlign w:val="bottom"/>
            <w:gridSpan w:val="2"/>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692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46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w w:val="93"/>
              </w:rPr>
              <w:t>Page</w:t>
            </w:r>
          </w:p>
        </w:tc>
        <w:tc>
          <w:tcPr>
            <w:tcW w:w="0" w:type="dxa"/>
            <w:vAlign w:val="bottom"/>
          </w:tcPr>
          <w:p>
            <w:pPr>
              <w:spacing w:after="0"/>
              <w:rPr>
                <w:sz w:val="1"/>
                <w:szCs w:val="1"/>
                <w:color w:val="auto"/>
              </w:rPr>
            </w:pPr>
          </w:p>
        </w:tc>
      </w:tr>
      <w:tr>
        <w:trPr>
          <w:trHeight w:val="118"/>
        </w:trPr>
        <w:tc>
          <w:tcPr>
            <w:tcW w:w="6920" w:type="dxa"/>
            <w:vAlign w:val="bottom"/>
            <w:gridSpan w:val="26"/>
            <w:vMerge w:val="continue"/>
          </w:tcPr>
          <w:p>
            <w:pPr>
              <w:spacing w:after="0"/>
              <w:rPr>
                <w:sz w:val="10"/>
                <w:szCs w:val="10"/>
                <w:color w:val="auto"/>
              </w:rPr>
            </w:pPr>
          </w:p>
        </w:tc>
        <w:tc>
          <w:tcPr>
            <w:tcW w:w="1460" w:type="dxa"/>
            <w:vAlign w:val="bottom"/>
          </w:tcPr>
          <w:p>
            <w:pPr>
              <w:spacing w:after="0"/>
              <w:rPr>
                <w:sz w:val="10"/>
                <w:szCs w:val="10"/>
                <w:color w:val="auto"/>
              </w:rPr>
            </w:pPr>
          </w:p>
        </w:tc>
        <w:tc>
          <w:tcPr>
            <w:tcW w:w="2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rPr>
              <w:t>Our Company</w:t>
            </w:r>
          </w:p>
        </w:tc>
        <w:tc>
          <w:tcPr>
            <w:tcW w:w="5640" w:type="dxa"/>
            <w:vAlign w:val="bottom"/>
            <w:gridSpan w:val="17"/>
          </w:tcPr>
          <w:p>
            <w:pPr>
              <w:spacing w:after="0"/>
              <w:rPr>
                <w:sz w:val="13"/>
                <w:szCs w:val="13"/>
                <w:color w:val="auto"/>
              </w:rPr>
            </w:pPr>
          </w:p>
        </w:tc>
        <w:tc>
          <w:tcPr>
            <w:tcW w:w="17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50"/>
        </w:trPr>
        <w:tc>
          <w:tcPr>
            <w:tcW w:w="800" w:type="dxa"/>
            <w:vAlign w:val="bottom"/>
            <w:tcBorders>
              <w:top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6120" w:type="dxa"/>
            <w:vAlign w:val="bottom"/>
            <w:gridSpan w:val="21"/>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132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2840" w:type="dxa"/>
            <w:vAlign w:val="bottom"/>
            <w:tcBorders>
              <w:bottom w:val="single" w:sz="8" w:color="0000EE"/>
            </w:tcBorders>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4080" w:type="dxa"/>
            <w:vAlign w:val="bottom"/>
            <w:gridSpan w:val="5"/>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50"/>
        </w:trPr>
        <w:tc>
          <w:tcPr>
            <w:tcW w:w="92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w w:val="98"/>
              </w:rPr>
              <w:t>Use of Proceeds</w:t>
            </w:r>
          </w:p>
        </w:tc>
        <w:tc>
          <w:tcPr>
            <w:tcW w:w="6000" w:type="dxa"/>
            <w:vAlign w:val="bottom"/>
            <w:gridSpan w:val="20"/>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50"/>
        </w:trPr>
        <w:tc>
          <w:tcPr>
            <w:tcW w:w="1740" w:type="dxa"/>
            <w:vAlign w:val="bottom"/>
            <w:tcBorders>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Description of Common Stock</w:t>
            </w:r>
          </w:p>
        </w:tc>
        <w:tc>
          <w:tcPr>
            <w:tcW w:w="5180" w:type="dxa"/>
            <w:vAlign w:val="bottom"/>
            <w:gridSpan w:val="11"/>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1320" w:type="dxa"/>
            <w:vAlign w:val="bottom"/>
            <w:gridSpan w:val="10"/>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1880" w:type="dxa"/>
            <w:vAlign w:val="bottom"/>
            <w:tcBorders>
              <w:bottom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Depositary Shares</w:t>
            </w:r>
          </w:p>
        </w:tc>
        <w:tc>
          <w:tcPr>
            <w:tcW w:w="5040" w:type="dxa"/>
            <w:vAlign w:val="bottom"/>
            <w:gridSpan w:val="10"/>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0"/>
        </w:trPr>
        <w:tc>
          <w:tcPr>
            <w:tcW w:w="136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Warrants</w:t>
            </w:r>
          </w:p>
        </w:tc>
        <w:tc>
          <w:tcPr>
            <w:tcW w:w="5560" w:type="dxa"/>
            <w:vAlign w:val="bottom"/>
            <w:gridSpan w:val="15"/>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50"/>
        </w:trPr>
        <w:tc>
          <w:tcPr>
            <w:tcW w:w="3100" w:type="dxa"/>
            <w:vAlign w:val="bottom"/>
            <w:tcBorders>
              <w:bottom w:val="single" w:sz="8" w:color="0000EE"/>
            </w:tcBorders>
            <w:gridSpan w:val="22"/>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 and Related Guarantees</w:t>
            </w:r>
          </w:p>
        </w:tc>
        <w:tc>
          <w:tcPr>
            <w:tcW w:w="3820" w:type="dxa"/>
            <w:vAlign w:val="bottom"/>
            <w:gridSpan w:val="4"/>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50"/>
        </w:trPr>
        <w:tc>
          <w:tcPr>
            <w:tcW w:w="2260" w:type="dxa"/>
            <w:vAlign w:val="bottom"/>
            <w:tcBorders>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w w:val="99"/>
              </w:rPr>
              <w:t>Restrictions on Ownership and Transfer</w:t>
            </w:r>
          </w:p>
        </w:tc>
        <w:tc>
          <w:tcPr>
            <w:tcW w:w="4660" w:type="dxa"/>
            <w:vAlign w:val="bottom"/>
            <w:gridSpan w:val="7"/>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Description of the Partnership Agreement of Digital Realty Trust, L.P.</w:t>
            </w: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
        </w:trPr>
        <w:tc>
          <w:tcPr>
            <w:tcW w:w="1320" w:type="dxa"/>
            <w:vAlign w:val="bottom"/>
            <w:gridSpan w:val="10"/>
            <w:shd w:val="clear" w:color="auto" w:fill="0000EE"/>
          </w:tcPr>
          <w:p>
            <w:pPr>
              <w:spacing w:after="0" w:line="20" w:lineRule="exact"/>
              <w:rPr>
                <w:sz w:val="1"/>
                <w:szCs w:val="1"/>
                <w:color w:val="auto"/>
              </w:rPr>
            </w:pPr>
          </w:p>
        </w:tc>
        <w:tc>
          <w:tcPr>
            <w:tcW w:w="1480" w:type="dxa"/>
            <w:vAlign w:val="bottom"/>
            <w:gridSpan w:val="10"/>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500" w:type="dxa"/>
            <w:vAlign w:val="bottom"/>
            <w:tcBorders>
              <w:bottom w:val="single" w:sz="8" w:color="0000EE"/>
            </w:tcBorders>
            <w:gridSpan w:val="25"/>
          </w:tcPr>
          <w:p>
            <w:pPr>
              <w:spacing w:after="0" w:line="150" w:lineRule="exact"/>
              <w:rPr>
                <w:sz w:val="20"/>
                <w:szCs w:val="20"/>
                <w:color w:val="auto"/>
              </w:rPr>
            </w:pPr>
            <w:r>
              <w:rPr>
                <w:rFonts w:ascii="Times New Roman" w:cs="Times New Roman" w:eastAsia="Times New Roman" w:hAnsi="Times New Roman"/>
                <w:sz w:val="14"/>
                <w:szCs w:val="14"/>
                <w:color w:val="0000EE"/>
              </w:rPr>
              <w:t>Material Provisions of Maryland Law and of the Charter and Bylaws of Digital Realty Trust, Inc.</w:t>
            </w:r>
          </w:p>
        </w:tc>
        <w:tc>
          <w:tcPr>
            <w:tcW w:w="1420" w:type="dxa"/>
            <w:vAlign w:val="bottom"/>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50"/>
        </w:trPr>
        <w:tc>
          <w:tcPr>
            <w:tcW w:w="6920" w:type="dxa"/>
            <w:vAlign w:val="bottom"/>
            <w:gridSpan w:val="26"/>
          </w:tcPr>
          <w:p>
            <w:pPr>
              <w:spacing w:after="0" w:line="150" w:lineRule="exact"/>
              <w:rPr>
                <w:sz w:val="20"/>
                <w:szCs w:val="20"/>
                <w:color w:val="auto"/>
              </w:rPr>
            </w:pPr>
            <w:r>
              <w:rPr>
                <w:rFonts w:ascii="Times New Roman" w:cs="Times New Roman" w:eastAsia="Times New Roman" w:hAnsi="Times New Roman"/>
                <w:sz w:val="14"/>
                <w:szCs w:val="14"/>
                <w:color w:val="0000EE"/>
              </w:rPr>
              <w:t>United States Federal Income Tax Considerations</w:t>
            </w: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50"/>
        </w:trPr>
        <w:tc>
          <w:tcPr>
            <w:tcW w:w="2800" w:type="dxa"/>
            <w:vAlign w:val="bottom"/>
            <w:tcBorders>
              <w:top w:val="single" w:sz="8" w:color="0000EE"/>
            </w:tcBorders>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Selling Securityholders</w:t>
            </w:r>
          </w:p>
        </w:tc>
        <w:tc>
          <w:tcPr>
            <w:tcW w:w="4120" w:type="dxa"/>
            <w:vAlign w:val="bottom"/>
            <w:gridSpan w:val="6"/>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80</w:t>
            </w:r>
          </w:p>
        </w:tc>
        <w:tc>
          <w:tcPr>
            <w:tcW w:w="0" w:type="dxa"/>
            <w:vAlign w:val="bottom"/>
          </w:tcPr>
          <w:p>
            <w:pPr>
              <w:spacing w:after="0"/>
              <w:rPr>
                <w:sz w:val="1"/>
                <w:szCs w:val="1"/>
                <w:color w:val="auto"/>
              </w:rPr>
            </w:pPr>
          </w:p>
        </w:tc>
      </w:tr>
      <w:tr>
        <w:trPr>
          <w:trHeight w:val="150"/>
        </w:trPr>
        <w:tc>
          <w:tcPr>
            <w:tcW w:w="1320" w:type="dxa"/>
            <w:vAlign w:val="bottom"/>
            <w:tcBorders>
              <w:top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5600" w:type="dxa"/>
            <w:vAlign w:val="bottom"/>
            <w:gridSpan w:val="16"/>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50"/>
        </w:trPr>
        <w:tc>
          <w:tcPr>
            <w:tcW w:w="1120" w:type="dxa"/>
            <w:vAlign w:val="bottom"/>
            <w:tcBorders>
              <w:top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5800" w:type="dxa"/>
            <w:vAlign w:val="bottom"/>
            <w:gridSpan w:val="19"/>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50"/>
        </w:trPr>
        <w:tc>
          <w:tcPr>
            <w:tcW w:w="4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8"/>
              </w:rPr>
              <w:t>Experts</w:t>
            </w:r>
          </w:p>
        </w:tc>
        <w:tc>
          <w:tcPr>
            <w:tcW w:w="340" w:type="dxa"/>
            <w:vAlign w:val="bottom"/>
            <w:tcBorders>
              <w:top w:val="single" w:sz="8" w:color="0000EE"/>
            </w:tcBorders>
            <w:gridSpan w:val="3"/>
          </w:tcPr>
          <w:p>
            <w:pPr>
              <w:spacing w:after="0"/>
              <w:rPr>
                <w:sz w:val="13"/>
                <w:szCs w:val="13"/>
                <w:color w:val="auto"/>
              </w:rPr>
            </w:pPr>
          </w:p>
        </w:tc>
        <w:tc>
          <w:tcPr>
            <w:tcW w:w="6140" w:type="dxa"/>
            <w:vAlign w:val="bottom"/>
            <w:gridSpan w:val="22"/>
          </w:tcPr>
          <w:p>
            <w:pPr>
              <w:spacing w:after="0"/>
              <w:rPr>
                <w:sz w:val="13"/>
                <w:szCs w:val="13"/>
                <w:color w:val="auto"/>
              </w:rPr>
            </w:pPr>
          </w:p>
        </w:tc>
        <w:tc>
          <w:tcPr>
            <w:tcW w:w="170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10159"/>
          </w:cols>
          <w:pgMar w:left="300" w:top="388"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or incorporated by reference into this prospectus supplement, the accompanying prospectus or any applicable free writing prospectus in making a decision about whether to invest in our common stock. We and the selling stockholders have not authorized any other person to provide you with different or additional information. If anyone provides you with different or additional information, you should not rely on it. The distribution of this prospectus supplement and the accompanying prospectus and the offering of the common stock in certain jurisdictions may be restricted by law. If you possess this prospectus supplement and the accompanying prospectus, you should find out about and observe these restrictions. This prospectus supplement and the accompanying prospectus do not constitute an offer to sell, or a solicitation of an offer to purchase, any securities in any jurisdiction where it is unlawful to make such offer or solicitation or where the person making the offer or sale is not qualified to do so or to any person to whom it is not permitted to make such offer or sale. You should assume that the information appearing in this prospectus supplement, the accompanying prospectus, any applicable free writing prospectus and the documents incorporated by reference herein or therein is accurate only as of their respective dates or on the date or dates which are specified in these documents. Our business, financial condition, liquidity, results of operations and prospects may have changed since those dates. The description set forth in this prospectus supplement replaces and supplements, where inconsistent, the description of the general terms and provisions set forth in the accompanying prospectus.</w:t>
      </w:r>
    </w:p>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10159"/>
          </w:cols>
          <w:pgMar w:left="300" w:top="388"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ABOUT THIS PROSPECTUS SUPPLEMENT AND THE PROSPECTUS</w:t>
      </w:r>
    </w:p>
    <w:p>
      <w:pPr>
        <w:spacing w:after="0" w:line="180" w:lineRule="exact"/>
        <w:rPr>
          <w:sz w:val="20"/>
          <w:szCs w:val="20"/>
          <w:color w:val="auto"/>
        </w:rPr>
      </w:pPr>
    </w:p>
    <w:p>
      <w:pPr>
        <w:ind w:left="1320" w:right="559"/>
        <w:spacing w:after="0" w:line="286" w:lineRule="auto"/>
        <w:rPr>
          <w:sz w:val="20"/>
          <w:szCs w:val="20"/>
          <w:color w:val="auto"/>
        </w:rPr>
      </w:pPr>
      <w:r>
        <w:rPr>
          <w:rFonts w:ascii="Times New Roman" w:cs="Times New Roman" w:eastAsia="Times New Roman" w:hAnsi="Times New Roman"/>
          <w:sz w:val="14"/>
          <w:szCs w:val="14"/>
          <w:color w:val="auto"/>
        </w:rPr>
        <w:t>This prospectus supplement and the prospectus are part of an “automatic shelf” registration statement that we filed with the SEC as a “well-known seasoned issuer” as defined in Rule 405 under the Securities Act utilizing a “shelf” registration process.</w:t>
      </w:r>
    </w:p>
    <w:p>
      <w:pPr>
        <w:spacing w:after="0" w:line="125"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and also adds to, changes and updates information contained in the accompanying prospectus and the documents incorporated by reference into this prospectus supplement and the accompanying prospectus. The second part, the accompanying prospectus, gives more general information about the securities we may offer from time to time, some of which does not apply to the common stock the selling stockholders are offering. To the extent any inconsistency or conflict exists between the information included in this prospectus supplement and the information included in the accompanying prospectus, the information included or incorporated by reference in this prospectus supplement updates and supersedes the information in the accompanying prospectus. This prospectus supplement incorporates by reference important business and financial information about us that is not included in or delivered with this prospectus supplement.</w:t>
      </w:r>
    </w:p>
    <w:p>
      <w:pPr>
        <w:spacing w:after="0" w:line="147" w:lineRule="exact"/>
        <w:rPr>
          <w:sz w:val="20"/>
          <w:szCs w:val="20"/>
          <w:color w:val="auto"/>
        </w:rPr>
      </w:pPr>
    </w:p>
    <w:p>
      <w:pPr>
        <w:ind w:left="1320" w:right="399"/>
        <w:spacing w:after="0" w:line="269" w:lineRule="auto"/>
        <w:rPr>
          <w:sz w:val="20"/>
          <w:szCs w:val="20"/>
          <w:color w:val="auto"/>
        </w:rPr>
      </w:pPr>
      <w:r>
        <w:rPr>
          <w:rFonts w:ascii="Times New Roman" w:cs="Times New Roman" w:eastAsia="Times New Roman" w:hAnsi="Times New Roman"/>
          <w:sz w:val="14"/>
          <w:szCs w:val="14"/>
          <w:color w:val="auto"/>
        </w:rPr>
        <w:t>It is important for you to read and consider all information contained in this prospectus supplement and the accompanying prospectus in making your investment decision. You should also read and consider the information contained in the documents identified under the heading “Incorporation by Reference.”</w:t>
      </w:r>
    </w:p>
    <w:p>
      <w:pPr>
        <w:spacing w:after="0" w:line="137"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Unless otherwise indicated or unless the context requires otherwise, all references in this prospectus supplement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supplement to “our operating partnership” or “the operating partnership” refer to Digital Realty Trust, L.P. together with its consolidated subsidiaries.</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10159"/>
          </w:cols>
          <w:pgMar w:left="300" w:top="388"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180" w:lineRule="exact"/>
        <w:rPr>
          <w:sz w:val="20"/>
          <w:szCs w:val="20"/>
          <w:color w:val="auto"/>
        </w:rPr>
      </w:pPr>
    </w:p>
    <w:p>
      <w:pPr>
        <w:ind w:left="1320" w:right="339"/>
        <w:spacing w:after="0" w:line="256" w:lineRule="auto"/>
        <w:rPr>
          <w:sz w:val="20"/>
          <w:szCs w:val="20"/>
          <w:color w:val="auto"/>
        </w:rPr>
      </w:pPr>
      <w:r>
        <w:rPr>
          <w:rFonts w:ascii="Times New Roman" w:cs="Times New Roman" w:eastAsia="Times New Roman" w:hAnsi="Times New Roman"/>
          <w:sz w:val="14"/>
          <w:szCs w:val="14"/>
          <w:color w:val="auto"/>
        </w:rPr>
        <w:t>We make statements in this prospectus supplement, the accompanying prospectus and the documents incorporated herein and therein by reference that are forward-looking statements within the meaning of the federal securities laws. In particular, statements pertaining to our capital resources, expected use of borrowings under our credit facilities, litigation matters or legal proceedings, portfolio performance, leverage policy, acquisition and capital expenditure plans, capital recycling program, returns on invested capital, supply and demand for data center capacity, capitalization rates, rents to be received in future periods and expected rental rates on new or renewed data center capacity contain forward-looking statements. Likewise, all of our statements regarding anticipated market conditions and results of operations are forward-looking statements. You can identify forward-looking statements by the use of forward-looking terminology such as “believes,” “expects,” “may,” “will,” “should,” “seeks,” “approximately,” “intends,” “plans,” “pro forma,” “estimates” or “anticipates” or the negative of these words and phrases or similar words or phrases which are predictions of or indicate future events or trends which do not relate solely to historical matters. You can also identify forward-looking statements by discussions of strategy, plans or intentions.</w:t>
      </w:r>
    </w:p>
    <w:p>
      <w:pPr>
        <w:spacing w:after="0" w:line="148"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Forward-looking statements involve numerous risks and uncertainties, and you should not rely on them as predictions of future events. Forward-looking statements depend on assumptions, data or methods that may be incorrect or imprecise and that we may not be able to realize. We do not guarantee that the transactions and events described will happen as described or that they will happen at all. The following factors, among others, could cause actual results and future events to differ materially from those set forth or contemplated in the forward-looking statements:</w:t>
      </w:r>
    </w:p>
    <w:p>
      <w:pPr>
        <w:spacing w:after="0" w:line="65" w:lineRule="exact"/>
        <w:rPr>
          <w:sz w:val="20"/>
          <w:szCs w:val="20"/>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demand for data centers or decreases in information technology spending;</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rental rates, increased operating costs or increased vacancy rates;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or available supply of data center capacity;</w:t>
      </w:r>
    </w:p>
    <w:p>
      <w:pPr>
        <w:spacing w:after="0" w:line="104"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suitability of our data centers and data center infrastructure, delays or disruptions in connectivity or availability of power, or failures or breaches of our physical and information security infrastructure or services;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breaches of our obligations or restrictions under our contracts with our customers;</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successfully develop and lease new properties and development capacity, and delays or unexpected costs in development of properties;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current global and local economic, credit and market conditions;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tariffs;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supply chain or procurement disruptions, or increased supply chain costs;</w:t>
      </w:r>
    </w:p>
    <w:p>
      <w:pPr>
        <w:spacing w:after="0" w:line="104"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from periods of heightened inflation on our costs, such as operating and general and administrative expenses, interest expense and real estate acquisition and construction costs;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on our customers’ and our suppliers’ operations during an epidemic, pandemic, or other global events;</w:t>
      </w:r>
    </w:p>
    <w:p>
      <w:pPr>
        <w:spacing w:after="0" w:line="104"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dependence upon significant customers, bankruptcy or insolvency of a major customer or a significant number of smaller customers, or defaults on or non-renewal of leases by customers;</w:t>
      </w:r>
    </w:p>
    <w:p>
      <w:pPr>
        <w:spacing w:after="0" w:line="50" w:lineRule="exact"/>
        <w:rPr>
          <w:rFonts w:ascii="Times New Roman" w:cs="Times New Roman" w:eastAsia="Times New Roman" w:hAnsi="Times New Roman"/>
          <w:sz w:val="14"/>
          <w:szCs w:val="14"/>
          <w:color w:val="auto"/>
        </w:rPr>
      </w:pPr>
    </w:p>
    <w:p>
      <w:pPr>
        <w:ind w:left="2080" w:right="939" w:hanging="337"/>
        <w:spacing w:after="0" w:line="286" w:lineRule="auto"/>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political conditions, geopolitical turmoil, political instability, civil disturbances, restrictive governmental actions or nationalization in the countries in which we operate;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retain data center capacity that we lease or sublease from third parties;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security, cyberattacks, security breaches and data privacy breaches;</w:t>
      </w:r>
    </w:p>
    <w:p>
      <w:pPr>
        <w:spacing w:after="0" w:line="1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10159"/>
          </w:cols>
          <w:pgMar w:left="300" w:top="388"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7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managing an international business and acquiring or operating properties in foreign jurisdictions and unfamiliar metropolitan areas;</w:t>
      </w:r>
    </w:p>
    <w:p>
      <w:pPr>
        <w:spacing w:after="0" w:line="50" w:lineRule="exact"/>
        <w:rPr>
          <w:rFonts w:ascii="Times New Roman" w:cs="Times New Roman" w:eastAsia="Times New Roman" w:hAnsi="Times New Roman"/>
          <w:sz w:val="14"/>
          <w:szCs w:val="14"/>
          <w:color w:val="auto"/>
        </w:rPr>
      </w:pPr>
    </w:p>
    <w:p>
      <w:pPr>
        <w:ind w:left="2080" w:right="31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realize the intended benefits from, or disruptions to our plans and operations or unknown or contingent liabilities related to, our recent and future acquisitions;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successfully integrate and operate acquired or developed properties or businesses;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identifying properties to acquire and completing acquisitions;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related to joint venture investments, including as a result of our lack of control of such investments;</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using debt to fund our business activities, including re-financing and interest rate risks, our failure to repay debt when due, adverse changes in our credit ratings or our breach of covenants or other terms contained in our loan facilities and agreements;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necessary debt and equity financing, and our dependence on external sources of capital;</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market fluctuations and changes in foreign currency exchange rates;</w:t>
      </w:r>
    </w:p>
    <w:p>
      <w:pPr>
        <w:spacing w:after="0" w:line="104"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or real estate developments in our industry or the industry sectors that we sell to, including risks relating to decreasing real estate valuations and impairment charges and goodwill and other intangible asset impairment charges;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manage our growth effectively;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losses in excess of our insurance coverage;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attract and retain talent;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environmental liabilities, risks related to natural disasters and our inability to achieve our sustainability goals;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expected operating performance of anticipated near-term acquisitions and descriptions relating to these expectations;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comply with rules and regulations applicable to our company;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Inc.’s failure to maintain its status as a REIT for U.S. federal income tax purposes;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L.P.’s failure to qualify as a partnership for U.S. federal income tax purposes;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our ability to engage in certain business activities;</w:t>
      </w:r>
    </w:p>
    <w:p>
      <w:pPr>
        <w:spacing w:after="0" w:line="104" w:lineRule="exact"/>
        <w:rPr>
          <w:rFonts w:ascii="Times New Roman" w:cs="Times New Roman" w:eastAsia="Times New Roman" w:hAnsi="Times New Roman"/>
          <w:sz w:val="14"/>
          <w:szCs w:val="14"/>
          <w:color w:val="auto"/>
        </w:rPr>
      </w:pPr>
    </w:p>
    <w:p>
      <w:pPr>
        <w:ind w:left="2080" w:right="65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local, state, federal and international laws and regulations, including related to taxation, real estate and zoning laws, and increases in real property tax rates;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any financial, accounting, legal or regulatory issues or litigation that may affect us; and</w:t>
      </w:r>
    </w:p>
    <w:p>
      <w:pPr>
        <w:spacing w:after="0" w:line="104" w:lineRule="exact"/>
        <w:rPr>
          <w:rFonts w:ascii="Times New Roman" w:cs="Times New Roman" w:eastAsia="Times New Roman" w:hAnsi="Times New Roman"/>
          <w:sz w:val="14"/>
          <w:szCs w:val="14"/>
          <w:color w:val="auto"/>
        </w:rPr>
      </w:pPr>
    </w:p>
    <w:p>
      <w:pPr>
        <w:ind w:left="2080" w:right="539" w:hanging="337"/>
        <w:spacing w:after="0" w:line="286" w:lineRule="auto"/>
        <w:tabs>
          <w:tab w:leader="none" w:pos="208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those additional risks and factors discussed in reports filed with the SEC by us from time to time, including those discussed under the heading “Risk Factors” in our most recently filed reports on Forms 10-K and 10-Q.</w:t>
      </w:r>
    </w:p>
    <w:p>
      <w:pPr>
        <w:spacing w:after="0" w:line="125"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While forward-looking statements reflect our good faith beliefs, they are not guarantees of future performance. We disclaim any obligation to publicly update or revise any forward-looking statement to reflect changes in underlying assumptions or factors, new information, data or methods, future events or other changes. The risks included here are not exhaustive, and additional factors could adversely affect our business and financial performance, including factors and risks included in other sections of this prospectus supplement, the accompanying prospectus or the documents incorporated by reference herein or therein. Moreover, we operate in</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10159"/>
          </w:cols>
          <w:pgMar w:left="300" w:top="388"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a very competitive and rapidly changing environment. New risk factors emerge from time to time and it is not possible for management to identify all such risk factors, nor can we assess 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For a further discussion of these and other factors that could impact our future results, performance or transactions, see the section entitled “Risk Factors” in this prospectus supplement, in the accompanying prospectus and in our most recently filed Combined Annual Report on Form 10-K, as may be updated by subsequent filings with the SEC that are incorporated by reference in this prospectus supplement and the accompanying prospectus.</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10159"/>
          </w:cols>
          <w:pgMar w:left="300" w:top="388"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834390</wp:posOffset>
            </wp:positionH>
            <wp:positionV relativeFrom="paragraph">
              <wp:posOffset>167640</wp:posOffset>
            </wp:positionV>
            <wp:extent cx="5498465" cy="3526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98465" cy="3526155"/>
                    </a:xfrm>
                    <a:prstGeom prst="rect">
                      <a:avLst/>
                    </a:prstGeom>
                    <a:noFill/>
                  </pic:spPr>
                </pic:pic>
              </a:graphicData>
            </a:graphic>
          </wp:anchor>
        </w:drawing>
      </w:r>
    </w:p>
    <w:p>
      <w:pPr>
        <w:spacing w:after="0" w:line="37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PROSPECTUS SUPPLEMENT SUMMARY</w:t>
      </w:r>
    </w:p>
    <w:p>
      <w:pPr>
        <w:spacing w:after="0" w:line="178" w:lineRule="exact"/>
        <w:rPr>
          <w:sz w:val="20"/>
          <w:szCs w:val="20"/>
          <w:color w:val="auto"/>
        </w:rPr>
      </w:pPr>
    </w:p>
    <w:p>
      <w:pPr>
        <w:ind w:left="1460" w:right="339"/>
        <w:spacing w:after="0" w:line="271" w:lineRule="auto"/>
        <w:rPr>
          <w:sz w:val="20"/>
          <w:szCs w:val="20"/>
          <w:color w:val="auto"/>
        </w:rPr>
      </w:pPr>
      <w:r>
        <w:rPr>
          <w:rFonts w:ascii="Times New Roman" w:cs="Times New Roman" w:eastAsia="Times New Roman" w:hAnsi="Times New Roman"/>
          <w:sz w:val="14"/>
          <w:szCs w:val="14"/>
          <w:i w:val="1"/>
          <w:iCs w:val="1"/>
          <w:color w:val="auto"/>
        </w:rPr>
        <w:t>You should read the following summary together with the more detailed information regarding our company and the financial statements appearing elsewhere in this prospectus supplement and the accompanying prospectus or incorporated by reference in this prospectus supplement and the accompanying prospectus, including under the caption “Risk Factors.”</w:t>
      </w:r>
    </w:p>
    <w:p>
      <w:pPr>
        <w:spacing w:after="0" w:line="3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THE COMPANY</w:t>
      </w:r>
    </w:p>
    <w:p>
      <w:pPr>
        <w:spacing w:after="0" w:line="180" w:lineRule="exact"/>
        <w:rPr>
          <w:sz w:val="20"/>
          <w:szCs w:val="20"/>
          <w:color w:val="auto"/>
        </w:rPr>
      </w:pPr>
    </w:p>
    <w:p>
      <w:pPr>
        <w:ind w:left="1460" w:right="339"/>
        <w:spacing w:after="0" w:line="261" w:lineRule="auto"/>
        <w:rPr>
          <w:sz w:val="20"/>
          <w:szCs w:val="20"/>
          <w:color w:val="auto"/>
        </w:rPr>
      </w:pPr>
      <w:r>
        <w:rPr>
          <w:rFonts w:ascii="Times New Roman" w:cs="Times New Roman" w:eastAsia="Times New Roman" w:hAnsi="Times New Roman"/>
          <w:sz w:val="14"/>
          <w:szCs w:val="14"/>
          <w:color w:val="auto"/>
        </w:rPr>
        <w:t>Digital Realty Trust, Inc., through its controlling interest in Digital Realty Trust, L.P. and its subsidiaries, is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federal income tax purposes, and our operating partnership is the entity through which we conduct our business and own our assets.</w:t>
      </w:r>
    </w:p>
    <w:p>
      <w:pPr>
        <w:spacing w:after="0" w:line="142" w:lineRule="exact"/>
        <w:rPr>
          <w:sz w:val="20"/>
          <w:szCs w:val="20"/>
          <w:color w:val="auto"/>
        </w:rPr>
      </w:pPr>
    </w:p>
    <w:p>
      <w:pPr>
        <w:ind w:left="1460" w:right="519"/>
        <w:spacing w:after="0" w:line="233" w:lineRule="auto"/>
        <w:rPr>
          <w:sz w:val="20"/>
          <w:szCs w:val="20"/>
          <w:color w:val="auto"/>
        </w:rPr>
      </w:pPr>
      <w:r>
        <w:rPr>
          <w:rFonts w:ascii="Times New Roman" w:cs="Times New Roman" w:eastAsia="Times New Roman" w:hAnsi="Times New Roman"/>
          <w:sz w:val="14"/>
          <w:szCs w:val="14"/>
          <w:color w:val="auto"/>
        </w:rPr>
        <w:t>Digital Realty Trust, Inc. was incorporated in the state of Maryland on March 9, 2004. Digital Realty Trust, L.P. was organized in the state of Maryland on July 21, 2004. Our principal executive offices are located at 601 West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Street, Floor 32, Austin, Texas 78701. Our telephone number is (737) 281-0101. Our website is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3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OFFERING</w:t>
      </w:r>
    </w:p>
    <w:p>
      <w:pPr>
        <w:spacing w:after="0" w:line="180" w:lineRule="exact"/>
        <w:rPr>
          <w:sz w:val="20"/>
          <w:szCs w:val="20"/>
          <w:color w:val="auto"/>
        </w:rPr>
      </w:pPr>
    </w:p>
    <w:p>
      <w:pPr>
        <w:ind w:left="1460" w:right="339"/>
        <w:spacing w:after="0" w:line="259" w:lineRule="auto"/>
        <w:rPr>
          <w:sz w:val="20"/>
          <w:szCs w:val="20"/>
          <w:color w:val="auto"/>
        </w:rPr>
      </w:pPr>
      <w:r>
        <w:rPr>
          <w:rFonts w:ascii="Times New Roman" w:cs="Times New Roman" w:eastAsia="Times New Roman" w:hAnsi="Times New Roman"/>
          <w:sz w:val="14"/>
          <w:szCs w:val="14"/>
          <w:color w:val="auto"/>
        </w:rPr>
        <w:t>This prospectus supplement relates to the potential resale from time to time of some or all of 3,425,031 shares of our common stock received by the selling stockholders in connection with the closing of our acquisition in October 2026 of approximately 16% of the ordinary shares in TDE Investments (Pty) Ltd (“TDE Investments”), which owns Teraco Data Environments Proprietary Limited (registration number 2007/004268/07), a private company with limited liability duly incorporated in accordance with the laws applicable in the Republic of South Africa, pursuant to a put right exercised by certain indirect investors in TDE Investments (the “TDE Put Right”). We are registering the securities pursuant to our obligations under the Purchase Agreement. Following the closing of the TDE Put Right, we own approximately 77% of the ordinary shares in TDE Investments.</w:t>
      </w: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10159"/>
          </w:cols>
          <w:pgMar w:left="300" w:top="388"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Investing in our common stock involves risks. You should consider carefully all of the material risks discussed in the documents incorporated by reference in this prospectus supplement and the accompanying prospectus, including the risk factors set forth in the company’s and the operating partnership’s most recent combined Annual Report on Form 10-K and any subsequent Quarterly Reports on Form 10-Q or Current Reports on Form 8-K we file after the date of this prospectus supplement, and the other information contained or incorporated by reference in this prospectus supplement or the accompanying prospectus, in evaluating our company, our properties and our business before making a decision to invest in our common stock. These risks are not the only ones faced by us. Additional risks not presently known to us or that we currently deem immaterial could also materially and adversely affect our financial condition, results of operations, business and prospects. The trading price of our common stock could decline due to any of these risks, and you may lose all or part of your investment. For more information, see the sections entitled “Where You Can Find More Information” and “Incorporation by Reference.”</w:t>
      </w:r>
    </w:p>
    <w:p>
      <w:pPr>
        <w:spacing w:after="0" w:line="145"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This prospectus supplement and the accompanying prospectus also contain or incorporate by reference forward-looking statements that involve risks and uncertainties. Actual results could differ materially from those anticipated by the forward-looking statements as a result of specific factors, including the risks discussed in the documents incorporated by reference in this prospectus supplement and the accompanying prospectus. Please refer to the section entitled “Forward-Looking Statements.”</w:t>
      </w:r>
    </w:p>
    <w:p>
      <w:pPr>
        <w:spacing w:after="0" w:line="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10159"/>
          </w:cols>
          <w:pgMar w:left="300" w:top="388"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The selling stockholders will receive all of the net proceeds from the sale of shares of our common stock under this prospectus supplement. We will not receive any proceeds from the sale of shares of our common stock by the selling stockholders.</w:t>
      </w:r>
    </w:p>
    <w:p>
      <w:pPr>
        <w:spacing w:after="0" w:line="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10159"/>
          </w:cols>
          <w:pgMar w:left="300" w:top="388"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STOCKHOLDERS</w:t>
      </w:r>
    </w:p>
    <w:p>
      <w:pPr>
        <w:spacing w:after="0" w:line="180" w:lineRule="exact"/>
        <w:rPr>
          <w:sz w:val="20"/>
          <w:szCs w:val="20"/>
          <w:color w:val="auto"/>
        </w:rPr>
      </w:pPr>
    </w:p>
    <w:p>
      <w:pPr>
        <w:ind w:left="1320" w:right="299" w:firstLine="346"/>
        <w:spacing w:after="0" w:line="261" w:lineRule="auto"/>
        <w:rPr>
          <w:sz w:val="20"/>
          <w:szCs w:val="20"/>
          <w:color w:val="auto"/>
        </w:rPr>
      </w:pPr>
      <w:r>
        <w:rPr>
          <w:rFonts w:ascii="Times New Roman" w:cs="Times New Roman" w:eastAsia="Times New Roman" w:hAnsi="Times New Roman"/>
          <w:sz w:val="14"/>
          <w:szCs w:val="14"/>
          <w:color w:val="auto"/>
        </w:rPr>
        <w:t>We are registering the resale of up to 3,425,031 shares of common stock covered by this prospectus supplement to allow the selling stockholders or their transferees, donees, pledges, assignees or other successors-in-interest to sell or otherwise dispose of, from time to time, such shares of common stock currently owned by the selling stockholders. Unless otherwise noted below, the shares being offered were received by the selling stockholders in connection with the closing of the TDE Put Right. We are registering the resale of the shares of common stock covered by this prospectus supplement pursuant to our obligations under the Purchase Agreement.</w:t>
      </w:r>
    </w:p>
    <w:p>
      <w:pPr>
        <w:spacing w:after="0" w:line="142" w:lineRule="exact"/>
        <w:rPr>
          <w:sz w:val="20"/>
          <w:szCs w:val="20"/>
          <w:color w:val="auto"/>
        </w:rPr>
      </w:pPr>
    </w:p>
    <w:p>
      <w:pPr>
        <w:jc w:val="both"/>
        <w:ind w:left="1320" w:right="299" w:firstLine="346"/>
        <w:spacing w:after="0" w:line="269" w:lineRule="auto"/>
        <w:rPr>
          <w:sz w:val="20"/>
          <w:szCs w:val="20"/>
          <w:color w:val="auto"/>
        </w:rPr>
      </w:pPr>
      <w:r>
        <w:rPr>
          <w:rFonts w:ascii="Times New Roman" w:cs="Times New Roman" w:eastAsia="Times New Roman" w:hAnsi="Times New Roman"/>
          <w:sz w:val="14"/>
          <w:szCs w:val="14"/>
          <w:color w:val="auto"/>
        </w:rPr>
        <w:t>We will pay certain expenses of the registration of the shares offered hereby, including the SEC filing fees. In addition, pursuant to the Purchase Agreement, we have agreed to indemnify the selling stockholders and certain of their affiliates against certain liabilities in connection with the offering of the shares.</w:t>
      </w:r>
    </w:p>
    <w:p>
      <w:pPr>
        <w:spacing w:after="0" w:line="137" w:lineRule="exact"/>
        <w:rPr>
          <w:sz w:val="20"/>
          <w:szCs w:val="20"/>
          <w:color w:val="auto"/>
        </w:rPr>
      </w:pPr>
    </w:p>
    <w:p>
      <w:pPr>
        <w:ind w:left="1320" w:right="219" w:firstLine="346"/>
        <w:spacing w:after="0" w:line="259" w:lineRule="auto"/>
        <w:rPr>
          <w:sz w:val="20"/>
          <w:szCs w:val="20"/>
          <w:color w:val="auto"/>
        </w:rPr>
      </w:pPr>
      <w:r>
        <w:rPr>
          <w:rFonts w:ascii="Times New Roman" w:cs="Times New Roman" w:eastAsia="Times New Roman" w:hAnsi="Times New Roman"/>
          <w:sz w:val="14"/>
          <w:szCs w:val="14"/>
          <w:color w:val="auto"/>
        </w:rPr>
        <w:t>Because the selling stockholders may sell, transfer or otherwise dispose of all, some or none of the shares of our common stock covered by this prospectus supplement, we cannot determine the number of such shares that will be sold, transferred or otherwise disposed of by the selling stockholders, or the amount or percentage of shares of our common stock that will be held by the selling stockholders upon termination of any particular offering. See “Plan of Distribution.” For purposes of the table below, we assume the sale of all shares of common stock offered by the selling stockholders pursuant to this prospectus supplement. We may supplement or amend this prospectus supplement to include additional selling stockholders upon provision of all required information to us and subject to the terms of the Purchase Agreement.</w:t>
      </w:r>
    </w:p>
    <w:p>
      <w:pPr>
        <w:spacing w:after="0" w:line="145" w:lineRule="exact"/>
        <w:rPr>
          <w:sz w:val="20"/>
          <w:szCs w:val="20"/>
          <w:color w:val="auto"/>
        </w:rPr>
      </w:pPr>
    </w:p>
    <w:p>
      <w:pPr>
        <w:ind w:left="1320" w:right="279" w:firstLine="346"/>
        <w:spacing w:after="0" w:line="261" w:lineRule="auto"/>
        <w:rPr>
          <w:sz w:val="20"/>
          <w:szCs w:val="20"/>
          <w:color w:val="auto"/>
        </w:rPr>
      </w:pPr>
      <w:r>
        <w:rPr>
          <w:rFonts w:ascii="Times New Roman" w:cs="Times New Roman" w:eastAsia="Times New Roman" w:hAnsi="Times New Roman"/>
          <w:sz w:val="14"/>
          <w:szCs w:val="14"/>
          <w:color w:val="auto"/>
        </w:rPr>
        <w:t>The percentages of beneficial ownership prior to and following the offering set forth below are based on a total of 378,325,884 shares of our common stock outstanding as of October 28, 2026. We have determined beneficial ownership in accordance with the rules of the SEC. The information contained in the following table is not necessarily indicative of beneficial ownership for any other purpose, and the inclusion of any shares in the table does not constitute an admission of beneficial ownership of those shares. Unless otherwise indicated, the persons or entities identified in this table have sole voting and investment power with respect to all shares shown as beneficially owned by them, subject to applicable community property laws.</w:t>
      </w:r>
    </w:p>
    <w:p>
      <w:pPr>
        <w:sectPr>
          <w:pgSz w:w="11900" w:h="16838" w:orient="portrait"/>
          <w:cols w:equalWidth="0" w:num="1">
            <w:col w:w="10159"/>
          </w:cols>
          <w:pgMar w:left="300" w:top="388" w:right="1440" w:bottom="1440" w:gutter="0" w:footer="0" w:header="0"/>
        </w:sectPr>
      </w:pPr>
    </w:p>
    <w:p>
      <w:pPr>
        <w:spacing w:after="0" w:line="39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u w:val="single" w:color="auto"/>
          <w:color w:val="auto"/>
        </w:rPr>
        <w:t>Name of Selling Stockholder</w:t>
      </w:r>
    </w:p>
    <w:p>
      <w:pPr>
        <w:ind w:left="1320"/>
        <w:spacing w:after="0" w:line="200" w:lineRule="auto"/>
        <w:rPr>
          <w:sz w:val="20"/>
          <w:szCs w:val="20"/>
          <w:color w:val="auto"/>
        </w:rPr>
      </w:pPr>
      <w:r>
        <w:rPr>
          <w:rFonts w:ascii="Times New Roman" w:cs="Times New Roman" w:eastAsia="Times New Roman" w:hAnsi="Times New Roman"/>
          <w:sz w:val="14"/>
          <w:szCs w:val="14"/>
          <w:color w:val="auto"/>
        </w:rPr>
        <w:t>Funds managed by Berkshire Partners LLC</w:t>
      </w:r>
      <w:r>
        <w:rPr>
          <w:rFonts w:ascii="Times New Roman" w:cs="Times New Roman" w:eastAsia="Times New Roman" w:hAnsi="Times New Roman"/>
          <w:sz w:val="21"/>
          <w:szCs w:val="21"/>
          <w:color w:val="auto"/>
          <w:vertAlign w:val="superscript"/>
        </w:rPr>
        <w:t>(1)</w:t>
      </w:r>
    </w:p>
    <w:p>
      <w:pPr>
        <w:ind w:left="1320"/>
        <w:spacing w:after="0"/>
        <w:rPr>
          <w:sz w:val="20"/>
          <w:szCs w:val="20"/>
          <w:color w:val="auto"/>
        </w:rPr>
      </w:pPr>
      <w:r>
        <w:rPr>
          <w:rFonts w:ascii="Times New Roman" w:cs="Times New Roman" w:eastAsia="Times New Roman" w:hAnsi="Times New Roman"/>
          <w:sz w:val="14"/>
          <w:szCs w:val="14"/>
          <w:color w:val="auto"/>
        </w:rPr>
        <w:t>Instanz Australia Pty Ltd, in its capacity as trustee for the King Trust</w:t>
      </w:r>
    </w:p>
    <w:p>
      <w:pPr>
        <w:spacing w:after="0" w:line="183" w:lineRule="exact"/>
        <w:rPr>
          <w:sz w:val="20"/>
          <w:szCs w:val="20"/>
          <w:color w:val="auto"/>
        </w:rPr>
      </w:pPr>
    </w:p>
    <w:p>
      <w:pPr>
        <w:ind w:left="1660" w:hanging="341"/>
        <w:spacing w:after="0"/>
        <w:tabs>
          <w:tab w:leader="none" w:pos="16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20" w:type="dxa"/>
            <w:vAlign w:val="bottom"/>
            <w:gridSpan w:val="5"/>
          </w:tcPr>
          <w:p>
            <w:pPr>
              <w:ind w:left="120"/>
              <w:spacing w:after="0"/>
              <w:rPr>
                <w:sz w:val="20"/>
                <w:szCs w:val="20"/>
                <w:color w:val="auto"/>
              </w:rPr>
            </w:pPr>
            <w:r>
              <w:rPr>
                <w:rFonts w:ascii="Times New Roman" w:cs="Times New Roman" w:eastAsia="Times New Roman" w:hAnsi="Times New Roman"/>
                <w:sz w:val="11"/>
                <w:szCs w:val="11"/>
                <w:b w:val="1"/>
                <w:bCs w:val="1"/>
                <w:color w:val="auto"/>
              </w:rPr>
              <w:t>Shares Beneficially Owned</w:t>
            </w:r>
          </w:p>
        </w:tc>
        <w:tc>
          <w:tcPr>
            <w:tcW w:w="120" w:type="dxa"/>
            <w:vAlign w:val="bottom"/>
          </w:tcPr>
          <w:p>
            <w:pPr>
              <w:spacing w:after="0"/>
              <w:rPr>
                <w:sz w:val="11"/>
                <w:szCs w:val="1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Shares Beneficially</w:t>
            </w:r>
          </w:p>
        </w:tc>
      </w:tr>
      <w:tr>
        <w:trPr>
          <w:trHeight w:val="126"/>
        </w:trPr>
        <w:tc>
          <w:tcPr>
            <w:tcW w:w="1240" w:type="dxa"/>
            <w:vAlign w:val="bottom"/>
            <w:tcBorders>
              <w:bottom w:val="single" w:sz="8" w:color="auto"/>
            </w:tcBorders>
            <w:gridSpan w:val="4"/>
          </w:tcPr>
          <w:p>
            <w:pPr>
              <w:jc w:val="right"/>
              <w:ind w:right="20"/>
              <w:spacing w:after="0" w:line="117" w:lineRule="exact"/>
              <w:rPr>
                <w:sz w:val="20"/>
                <w:szCs w:val="20"/>
                <w:color w:val="auto"/>
              </w:rPr>
            </w:pPr>
            <w:r>
              <w:rPr>
                <w:rFonts w:ascii="Times New Roman" w:cs="Times New Roman" w:eastAsia="Times New Roman" w:hAnsi="Times New Roman"/>
                <w:sz w:val="11"/>
                <w:szCs w:val="11"/>
                <w:b w:val="1"/>
                <w:bCs w:val="1"/>
                <w:color w:val="auto"/>
              </w:rPr>
              <w:t>Prior to Offering</w:t>
            </w:r>
          </w:p>
        </w:tc>
        <w:tc>
          <w:tcPr>
            <w:tcW w:w="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Shares Being</w:t>
            </w:r>
          </w:p>
        </w:tc>
        <w:tc>
          <w:tcPr>
            <w:tcW w:w="1480" w:type="dxa"/>
            <w:vAlign w:val="bottom"/>
            <w:tcBorders>
              <w:bottom w:val="single" w:sz="8" w:color="auto"/>
            </w:tcBorders>
            <w:gridSpan w:val="3"/>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Owned After the Offering</w:t>
            </w:r>
          </w:p>
        </w:tc>
      </w:tr>
      <w:tr>
        <w:trPr>
          <w:trHeight w:val="117"/>
        </w:trPr>
        <w:tc>
          <w:tcPr>
            <w:tcW w:w="980" w:type="dxa"/>
            <w:vAlign w:val="bottom"/>
            <w:gridSpan w:val="2"/>
          </w:tcPr>
          <w:p>
            <w:pPr>
              <w:ind w:left="100"/>
              <w:spacing w:after="0" w:line="117" w:lineRule="exact"/>
              <w:rPr>
                <w:sz w:val="20"/>
                <w:szCs w:val="20"/>
                <w:color w:val="auto"/>
              </w:rPr>
            </w:pPr>
            <w:r>
              <w:rPr>
                <w:rFonts w:ascii="Times New Roman" w:cs="Times New Roman" w:eastAsia="Times New Roman" w:hAnsi="Times New Roman"/>
                <w:sz w:val="11"/>
                <w:szCs w:val="11"/>
                <w:b w:val="1"/>
                <w:bCs w:val="1"/>
                <w:color w:val="auto"/>
              </w:rPr>
              <w:t>Number</w:t>
            </w:r>
          </w:p>
        </w:tc>
        <w:tc>
          <w:tcPr>
            <w:tcW w:w="560" w:type="dxa"/>
            <w:vAlign w:val="bottom"/>
            <w:gridSpan w:val="4"/>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13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Offered</w:t>
            </w:r>
          </w:p>
        </w:tc>
        <w:tc>
          <w:tcPr>
            <w:tcW w:w="820" w:type="dxa"/>
            <w:vAlign w:val="bottom"/>
            <w:gridSpan w:val="2"/>
          </w:tcPr>
          <w:p>
            <w:pPr>
              <w:jc w:val="right"/>
              <w:ind w:right="380"/>
              <w:spacing w:after="0" w:line="117" w:lineRule="exact"/>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tcPr>
          <w:p>
            <w:pPr>
              <w:ind w:left="80"/>
              <w:spacing w:after="0" w:line="117" w:lineRule="exact"/>
              <w:rPr>
                <w:sz w:val="20"/>
                <w:szCs w:val="20"/>
                <w:color w:val="auto"/>
              </w:rPr>
            </w:pPr>
            <w:r>
              <w:rPr>
                <w:rFonts w:ascii="Times New Roman" w:cs="Times New Roman" w:eastAsia="Times New Roman" w:hAnsi="Times New Roman"/>
                <w:sz w:val="11"/>
                <w:szCs w:val="11"/>
                <w:b w:val="1"/>
                <w:bCs w:val="1"/>
                <w:color w:val="auto"/>
              </w:rPr>
              <w:t>Percentage</w:t>
            </w:r>
          </w:p>
        </w:tc>
      </w:tr>
      <w:tr>
        <w:trPr>
          <w:trHeight w:val="146"/>
        </w:trPr>
        <w:tc>
          <w:tcPr>
            <w:tcW w:w="6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3,110,783</w:t>
            </w:r>
          </w:p>
        </w:tc>
        <w:tc>
          <w:tcPr>
            <w:tcW w:w="360" w:type="dxa"/>
            <w:vAlign w:val="bottom"/>
          </w:tcPr>
          <w:p>
            <w:pPr>
              <w:spacing w:after="0"/>
              <w:rPr>
                <w:sz w:val="12"/>
                <w:szCs w:val="12"/>
                <w:color w:val="auto"/>
              </w:rPr>
            </w:pPr>
          </w:p>
        </w:tc>
        <w:tc>
          <w:tcPr>
            <w:tcW w:w="1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60"/>
              <w:spacing w:after="0" w:line="145" w:lineRule="exact"/>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298"/>
              <w:spacing w:after="0" w:line="145" w:lineRule="exact"/>
              <w:rPr>
                <w:sz w:val="20"/>
                <w:szCs w:val="20"/>
                <w:color w:val="auto"/>
              </w:rPr>
            </w:pPr>
            <w:r>
              <w:rPr>
                <w:rFonts w:ascii="Times New Roman" w:cs="Times New Roman" w:eastAsia="Times New Roman" w:hAnsi="Times New Roman"/>
                <w:sz w:val="14"/>
                <w:szCs w:val="14"/>
                <w:color w:val="auto"/>
              </w:rPr>
              <w:t>3,110,783</w:t>
            </w:r>
          </w:p>
        </w:tc>
        <w:tc>
          <w:tcPr>
            <w:tcW w:w="460" w:type="dxa"/>
            <w:vAlign w:val="bottom"/>
            <w:tcBorders>
              <w:top w:val="single" w:sz="8" w:color="auto"/>
            </w:tcBorders>
          </w:tcPr>
          <w:p>
            <w:pPr>
              <w:jc w:val="right"/>
              <w:spacing w:after="0" w:line="145" w:lineRule="exact"/>
              <w:rPr>
                <w:sz w:val="20"/>
                <w:szCs w:val="20"/>
                <w:color w:val="auto"/>
              </w:rPr>
            </w:pPr>
            <w:r>
              <w:rPr>
                <w:rFonts w:ascii="Times New Roman" w:cs="Times New Roman" w:eastAsia="Times New Roman" w:hAnsi="Times New Roman"/>
                <w:sz w:val="14"/>
                <w:szCs w:val="14"/>
                <w:color w:val="auto"/>
              </w:rPr>
              <w:t>— </w:t>
            </w:r>
          </w:p>
        </w:tc>
        <w:tc>
          <w:tcPr>
            <w:tcW w:w="360" w:type="dxa"/>
            <w:vAlign w:val="bottom"/>
          </w:tcPr>
          <w:p>
            <w:pPr>
              <w:spacing w:after="0"/>
              <w:rPr>
                <w:sz w:val="12"/>
                <w:szCs w:val="12"/>
                <w:color w:val="auto"/>
              </w:rPr>
            </w:pPr>
          </w:p>
        </w:tc>
        <w:tc>
          <w:tcPr>
            <w:tcW w:w="660" w:type="dxa"/>
            <w:vAlign w:val="bottom"/>
            <w:tcBorders>
              <w:top w:val="single" w:sz="8" w:color="auto"/>
            </w:tcBorders>
          </w:tcPr>
          <w:p>
            <w:pPr>
              <w:ind w:left="460"/>
              <w:spacing w:after="0" w:line="145" w:lineRule="exact"/>
              <w:rPr>
                <w:sz w:val="20"/>
                <w:szCs w:val="20"/>
                <w:color w:val="auto"/>
              </w:rPr>
            </w:pPr>
            <w:r>
              <w:rPr>
                <w:rFonts w:ascii="Times New Roman" w:cs="Times New Roman" w:eastAsia="Times New Roman" w:hAnsi="Times New Roman"/>
                <w:sz w:val="14"/>
                <w:szCs w:val="14"/>
                <w:color w:val="auto"/>
                <w:w w:val="85"/>
              </w:rPr>
              <w:t>— </w:t>
            </w:r>
          </w:p>
        </w:tc>
      </w:tr>
      <w:tr>
        <w:trPr>
          <w:trHeight w:val="184"/>
        </w:trPr>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314,248</w:t>
            </w:r>
          </w:p>
        </w:tc>
        <w:tc>
          <w:tcPr>
            <w:tcW w:w="120" w:type="dxa"/>
            <w:vAlign w:val="bottom"/>
          </w:tcPr>
          <w:p>
            <w:pPr>
              <w:ind w:left="40"/>
              <w:spacing w:after="0"/>
              <w:rPr>
                <w:sz w:val="20"/>
                <w:szCs w:val="20"/>
                <w:color w:val="auto"/>
              </w:rPr>
            </w:pPr>
            <w:r>
              <w:rPr>
                <w:rFonts w:ascii="Times New Roman" w:cs="Times New Roman" w:eastAsia="Times New Roman" w:hAnsi="Times New Roman"/>
                <w:sz w:val="8"/>
                <w:szCs w:val="8"/>
                <w:color w:val="auto"/>
                <w:w w:val="74"/>
              </w:rPr>
              <w:t> </w:t>
            </w:r>
          </w:p>
        </w:tc>
        <w:tc>
          <w:tcPr>
            <w:tcW w:w="140" w:type="dxa"/>
            <w:vAlign w:val="bottom"/>
          </w:tcPr>
          <w:p>
            <w:pPr>
              <w:jc w:val="right"/>
              <w:ind w:righ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71"/>
              </w:rPr>
              <w:t>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Pr>
          <w:p>
            <w:pPr>
              <w:jc w:val="right"/>
              <w:ind w:right="298"/>
              <w:spacing w:after="0"/>
              <w:rPr>
                <w:sz w:val="20"/>
                <w:szCs w:val="20"/>
                <w:color w:val="auto"/>
              </w:rPr>
            </w:pPr>
            <w:r>
              <w:rPr>
                <w:rFonts w:ascii="Times New Roman" w:cs="Times New Roman" w:eastAsia="Times New Roman" w:hAnsi="Times New Roman"/>
                <w:sz w:val="14"/>
                <w:szCs w:val="14"/>
                <w:color w:val="auto"/>
              </w:rPr>
              <w:t>314,248</w:t>
            </w: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— </w:t>
            </w:r>
          </w:p>
        </w:tc>
        <w:tc>
          <w:tcPr>
            <w:tcW w:w="660" w:type="dxa"/>
            <w:vAlign w:val="bottom"/>
          </w:tcPr>
          <w:p>
            <w:pPr>
              <w:ind w:left="460"/>
              <w:spacing w:after="0"/>
              <w:rPr>
                <w:sz w:val="20"/>
                <w:szCs w:val="20"/>
                <w:color w:val="auto"/>
              </w:rPr>
            </w:pPr>
            <w:r>
              <w:rPr>
                <w:rFonts w:ascii="Times New Roman" w:cs="Times New Roman" w:eastAsia="Times New Roman" w:hAnsi="Times New Roman"/>
                <w:sz w:val="14"/>
                <w:szCs w:val="14"/>
                <w:color w:val="auto"/>
                <w:w w:val="8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-220980</wp:posOffset>
            </wp:positionV>
            <wp:extent cx="549275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92750" cy="114300"/>
                    </a:xfrm>
                    <a:prstGeom prst="rect">
                      <a:avLst/>
                    </a:prstGeom>
                    <a:noFill/>
                  </pic:spPr>
                </pic:pic>
              </a:graphicData>
            </a:graphic>
          </wp:anchor>
        </w:drawing>
      </w:r>
    </w:p>
    <w:p>
      <w:pPr>
        <w:spacing w:after="0" w:line="515" w:lineRule="exact"/>
        <w:rPr>
          <w:sz w:val="20"/>
          <w:szCs w:val="20"/>
          <w:color w:val="auto"/>
        </w:rPr>
      </w:pPr>
    </w:p>
    <w:p>
      <w:pPr>
        <w:sectPr>
          <w:pgSz w:w="11900" w:h="16838" w:orient="portrait"/>
          <w:cols w:equalWidth="0" w:num="2">
            <w:col w:w="5220" w:space="380"/>
            <w:col w:w="4559"/>
          </w:cols>
          <w:pgMar w:left="300" w:top="388" w:right="1440" w:bottom="1440" w:gutter="0" w:footer="0" w:header="0"/>
          <w:type w:val="continuous"/>
        </w:sectPr>
      </w:pPr>
    </w:p>
    <w:p>
      <w:pPr>
        <w:ind w:left="1320" w:right="239" w:hanging="1"/>
        <w:spacing w:after="0" w:line="257" w:lineRule="auto"/>
        <w:tabs>
          <w:tab w:leader="none" w:pos="1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2,015,745 shares of common stock owned by Berkshire Fund IX (OS), L.P. (“Berkshire Fund IX (OS)”), (ii) 825,745 shares of common stock owned by Berkshire Fund IX-A (OS), L.P. (“Berkshire Fund IX-A (OS)”) and (iii) 269,293 shares of common stock owned by Berkshire Investors (OS), L.P. (“Berkshire Investors (OS)” and together with Berkshire Fund IX (OS) and Berkshire Fund IX-A (OS), the “Berkshire Entities”). Ninth Berkshire Associates (OS) LLC, a Delaware limited liability company (“9BA (OS)”), is the general partner of Berkshire Fund IX (OS) and Berkshire Fund IX-A (OS). The managing members of 9BA (OS) are over 25 Managing Directors and executives (the “Berkshire Principals”) of Berkshire Partners LLC, a Massachusetts limited liability company (“Berkshire Partners”). The general partner of Berkshire Investors (OS) is Seventh Berkshire Associates GP (OS), Ltd., a Cayman Islands exempted company (“7BA (OS)”). The directors of 7BA (OS) are two of the Berkshire Principals. Berkshire Partners is the investment advisor to Berkshire Fund IX (OS) and Berkshire Fund IX-A (OS) (together, the “Funds”). The Berkshire Entities often</w:t>
      </w:r>
    </w:p>
    <w:p>
      <w:pPr>
        <w:spacing w:after="0" w:line="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10159"/>
          </w:cols>
          <w:pgMar w:left="300" w:top="388" w:right="1440"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make acquisitions in, and dispose of, securities of an issuer on the same terms and conditions and at the same time. The Berkshire Principals make investment and voting decisions for the Berkshire Entities by majority in voting interest. Berkshire Partners, the Berkshire Entities, 9BA (OS) and 7BA (OS) may be deemed to constitute a “group” for purposes of Section 13(d) of the Exchange Act, although they do not admit to being part of a group, nor have they agreed to act as part of a group. The address of all the entities and the managing members mentioned above is 200 Clarendon Street, 35th Floor, Boston, Massachusetts 02116-5021.</w:t>
      </w:r>
    </w:p>
    <w:p>
      <w:pPr>
        <w:spacing w:after="0" w:line="8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10159"/>
          </w:cols>
          <w:pgMar w:left="300" w:top="388"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selling stockholders, or their pledgees, donees, transferees, or any of their successors in interest selling the securities received from a named selling stockholder after the date of this prospectus supplement (all of whom may be selling stockholders), may sell the securities from time to time on any stock exchange or automated interdealer quotation system on which the securities are traded, in the over-the-counter market, in privately negotiated transactions or otherwise, at fixed prices that may be changed, at market prices prevailing at the time of sale, at prices related to prevailing market prices or at prices otherwise negotiated. The selling stockholders may sell the securities by one or more of the following methods, without limitation:</w:t>
      </w:r>
    </w:p>
    <w:p>
      <w:pPr>
        <w:spacing w:after="0" w:line="68" w:lineRule="exact"/>
        <w:rPr>
          <w:sz w:val="20"/>
          <w:szCs w:val="20"/>
          <w:color w:val="auto"/>
        </w:rPr>
      </w:pPr>
    </w:p>
    <w:p>
      <w:pPr>
        <w:ind w:left="2080" w:right="219" w:hanging="337"/>
        <w:spacing w:after="0" w:line="286" w:lineRule="auto"/>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the broker or dealer so engaged will attempt to sell the securities as agent but may position and resell a portion of the block as principal to facilitate the transaction, or in crosses in which the same broker acts as agent on both sides;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 or dealer as principal and resale by the broker or dealer for its own account pursuant to this prospectus supplement;</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w:t>
      </w:r>
    </w:p>
    <w:p>
      <w:pPr>
        <w:spacing w:after="0" w:line="104"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of options on the securities, swaps or other derivatives, whether or not the options or such instruments are listed on an exchange;</w:t>
      </w:r>
    </w:p>
    <w:p>
      <w:pPr>
        <w:spacing w:after="0" w:line="50" w:lineRule="exact"/>
        <w:rPr>
          <w:rFonts w:ascii="Times New Roman" w:cs="Times New Roman" w:eastAsia="Times New Roman" w:hAnsi="Times New Roman"/>
          <w:sz w:val="14"/>
          <w:szCs w:val="14"/>
          <w:color w:val="auto"/>
        </w:rPr>
      </w:pPr>
    </w:p>
    <w:p>
      <w:pPr>
        <w:ind w:left="2080" w:right="759" w:hanging="337"/>
        <w:spacing w:after="0" w:line="269" w:lineRule="auto"/>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upon our prior consent, one or more underwritten offerings on a firm commitment or best efforts basis or other purchases by underwriters, brokers, dealers, and agents who may receive compensation in the form of underwriting discounts, concessions or commissions from the selling stockholders and/or the purchasers of the securities for whom they may act as agent;</w:t>
      </w:r>
    </w:p>
    <w:p>
      <w:pPr>
        <w:spacing w:after="0" w:line="62"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pledges of the securities as security for any loan or obligation, including pledges to brokers or dealers who may from time to time effect distributions of the securities;</w:t>
      </w:r>
    </w:p>
    <w:p>
      <w:pPr>
        <w:spacing w:after="0" w:line="50" w:lineRule="exact"/>
        <w:rPr>
          <w:rFonts w:ascii="Times New Roman" w:cs="Times New Roman" w:eastAsia="Times New Roman" w:hAnsi="Times New Roman"/>
          <w:sz w:val="14"/>
          <w:szCs w:val="14"/>
          <w:color w:val="auto"/>
        </w:rPr>
      </w:pPr>
    </w:p>
    <w:p>
      <w:pPr>
        <w:ind w:left="2080" w:right="759" w:hanging="337"/>
        <w:spacing w:after="0" w:line="286" w:lineRule="auto"/>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in other ways not involving market makers or established trading markets, including direct sales to institutions or individual purchasers; or</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combination of the foregoing methods or by any other legally available means.</w:t>
      </w:r>
    </w:p>
    <w:p>
      <w:pPr>
        <w:spacing w:after="0" w:line="178" w:lineRule="exact"/>
        <w:rPr>
          <w:sz w:val="20"/>
          <w:szCs w:val="20"/>
          <w:color w:val="auto"/>
        </w:rPr>
      </w:pPr>
    </w:p>
    <w:p>
      <w:pPr>
        <w:ind w:left="1320" w:right="319"/>
        <w:spacing w:after="0" w:line="286" w:lineRule="auto"/>
        <w:rPr>
          <w:sz w:val="20"/>
          <w:szCs w:val="20"/>
          <w:color w:val="auto"/>
        </w:rPr>
      </w:pPr>
      <w:r>
        <w:rPr>
          <w:rFonts w:ascii="Times New Roman" w:cs="Times New Roman" w:eastAsia="Times New Roman" w:hAnsi="Times New Roman"/>
          <w:sz w:val="14"/>
          <w:szCs w:val="14"/>
          <w:color w:val="auto"/>
        </w:rPr>
        <w:t>The selling stockholders may also transfer the securities by gift. We do not know of any arrangements by the selling stockholders for the sale of any of the securities.</w:t>
      </w:r>
    </w:p>
    <w:p>
      <w:pPr>
        <w:spacing w:after="0" w:line="125"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With our prior consent, the selling stockholders may engage underwriters, brokers or dealers, and any underwriters, brokers or dealers may arrange for other underwriters, brokers or dealers to participate in effecting sales of the securities. These brokers, dealers or underwriters may act as principals, or as an agent of a selling stockholder. Broker-dealers may agree with a selling stockholder to sell a specified number of the securities at a stipulated price per security. If the broker-dealer is unable to sell securities acting as agent for a selling stockholder,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or in over-the-counter market, at prices and on terms then prevailing at the time of sale, at prices related to the then-current market price or in negotiated transactions. Broker-dealers may use block transactions and sales to and through broker-dealers, including transactions of the nature described above. The selling stockholders may also sell the securities in accordance with Rule 144 under the Securities Act, or in accordance with Section 4(a)(1) of the Securities Act, rather than pursuant to this prospectus supplement, regardless of whether the securities are covered by this prospectus supplement.</w:t>
      </w:r>
    </w:p>
    <w:p>
      <w:pPr>
        <w:spacing w:after="0" w:line="148" w:lineRule="exact"/>
        <w:rPr>
          <w:sz w:val="20"/>
          <w:szCs w:val="20"/>
          <w:color w:val="auto"/>
        </w:rPr>
      </w:pPr>
    </w:p>
    <w:p>
      <w:pPr>
        <w:ind w:left="1320" w:right="259"/>
        <w:spacing w:after="0" w:line="286" w:lineRule="auto"/>
        <w:rPr>
          <w:sz w:val="20"/>
          <w:szCs w:val="20"/>
          <w:color w:val="auto"/>
        </w:rPr>
      </w:pPr>
      <w:r>
        <w:rPr>
          <w:rFonts w:ascii="Times New Roman" w:cs="Times New Roman" w:eastAsia="Times New Roman" w:hAnsi="Times New Roman"/>
          <w:sz w:val="14"/>
          <w:szCs w:val="14"/>
          <w:color w:val="auto"/>
        </w:rPr>
        <w:t>From time to time, one or more of the selling stockholders may pledge, hypothecate or grant a security interest in some or all of the securities owned by them. The pledgees, secured parties or persons to whom the securities have</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10159"/>
          </w:cols>
          <w:pgMar w:left="300" w:top="388"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39"/>
        <w:spacing w:after="0" w:line="264" w:lineRule="auto"/>
        <w:rPr>
          <w:sz w:val="20"/>
          <w:szCs w:val="20"/>
          <w:color w:val="auto"/>
        </w:rPr>
      </w:pPr>
      <w:r>
        <w:rPr>
          <w:rFonts w:ascii="Times New Roman" w:cs="Times New Roman" w:eastAsia="Times New Roman" w:hAnsi="Times New Roman"/>
          <w:sz w:val="14"/>
          <w:szCs w:val="14"/>
          <w:color w:val="auto"/>
        </w:rPr>
        <w:t>been so pledged or hypothecated (or otherwise subject to a security interest) will, upon foreclosure in the event of default, be deemed to be selling stockholders. The plan of distribution for those selling stockholders’ securities will otherwise remain unchanged. The selling stockholders (or their pledgees, donees, transferees or other successors in interest) also may transfer and donate the securities in other circumstances in which case the transferees, donees, pledgees or other successors in interest thereof will be the selling stockholders for purposes of this prospectus supplement.</w:t>
      </w:r>
    </w:p>
    <w:p>
      <w:pPr>
        <w:spacing w:after="0" w:line="140"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In addition, selling stockholders may, from time to time, sell the securities short, and, in those instances, this prospectus supplement may be delivered in connection with the short sales and the securities offered under this prospectus supplement may be used to cover short sales.</w:t>
      </w:r>
    </w:p>
    <w:p>
      <w:pPr>
        <w:spacing w:after="0" w:line="125"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To the extent required under the Securities Act, the aggregate amount of selling stockholders’ securities being offered and the terms of the offering, the names of any agents, brokers, dealers or underwriters and any applicable commission with respect to a particular offer will be set forth in an additional prospectus supplement. Any underwriters, dealers, brokers or agents participating in the distribution of the securities may receive compensation in the form of underwriting discounts, concessions, commissions or fees from a selling stockholder and/or purchasers of selling stockholders’ securities, for whom they may act (which compensation as to a particular broker-dealer might be in excess of customary commissions).</w:t>
      </w:r>
    </w:p>
    <w:p>
      <w:pPr>
        <w:spacing w:after="0" w:line="142" w:lineRule="exact"/>
        <w:rPr>
          <w:sz w:val="20"/>
          <w:szCs w:val="20"/>
          <w:color w:val="auto"/>
        </w:rPr>
      </w:pPr>
    </w:p>
    <w:p>
      <w:pPr>
        <w:ind w:left="1320" w:right="399"/>
        <w:spacing w:after="0" w:line="269" w:lineRule="auto"/>
        <w:rPr>
          <w:sz w:val="20"/>
          <w:szCs w:val="20"/>
          <w:color w:val="auto"/>
        </w:rPr>
      </w:pPr>
      <w:r>
        <w:rPr>
          <w:rFonts w:ascii="Times New Roman" w:cs="Times New Roman" w:eastAsia="Times New Roman" w:hAnsi="Times New Roman"/>
          <w:sz w:val="14"/>
          <w:szCs w:val="14"/>
          <w:color w:val="auto"/>
        </w:rPr>
        <w:t>The selling stockholders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37"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The selling stockholders may enter into hedging transactions with broker-dealers and the broker-dealers may engage in short sales of the securities in the course of hedging the positions they assume with that selling stockholder, including, without limitation, in connection with distributions of the securities by those broker-dealers. The selling stockholders may enter into options or other transactions with broker-dealers that involve the delivery of the securities offered hereby to the broker-dealers, who may then resell or otherwise transfer those securities. The selling stockholders may also loan or pledge the securities offered hereby to a broker-dealer and the broker-dealer may sell the securities offered hereby so loaned or upon a default may sell or otherwise transfer the pledged securities offered hereby.</w:t>
      </w:r>
    </w:p>
    <w:p>
      <w:pPr>
        <w:spacing w:after="0" w:line="145" w:lineRule="exact"/>
        <w:rPr>
          <w:sz w:val="20"/>
          <w:szCs w:val="20"/>
          <w:color w:val="auto"/>
        </w:rPr>
      </w:pPr>
    </w:p>
    <w:p>
      <w:pPr>
        <w:ind w:left="1320" w:right="279"/>
        <w:spacing w:after="0" w:line="258" w:lineRule="auto"/>
        <w:rPr>
          <w:sz w:val="20"/>
          <w:szCs w:val="20"/>
          <w:color w:val="auto"/>
        </w:rPr>
      </w:pPr>
      <w:r>
        <w:rPr>
          <w:rFonts w:ascii="Times New Roman" w:cs="Times New Roman" w:eastAsia="Times New Roman" w:hAnsi="Times New Roman"/>
          <w:sz w:val="14"/>
          <w:szCs w:val="14"/>
          <w:color w:val="auto"/>
        </w:rPr>
        <w:t>The selling stockholders and other persons participating in the sale or distribution of the securities will be subject to applicable provisions of the Exchange Act, and the rules and regulations thereunder, including Regulation M. This regulation may limit the timing of purchases and sales of any of the securities by the selling stockholders and any other person. The anti-manipulation rules under the Exchange Act may apply to sales of securities in the market and to the activities of the selling stockholders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45" w:lineRule="exact"/>
        <w:rPr>
          <w:sz w:val="20"/>
          <w:szCs w:val="20"/>
          <w:color w:val="auto"/>
        </w:rPr>
      </w:pPr>
    </w:p>
    <w:p>
      <w:pPr>
        <w:ind w:left="1320" w:right="339"/>
        <w:spacing w:after="0" w:line="261" w:lineRule="auto"/>
        <w:rPr>
          <w:sz w:val="20"/>
          <w:szCs w:val="20"/>
          <w:color w:val="auto"/>
        </w:rPr>
      </w:pPr>
      <w:r>
        <w:rPr>
          <w:rFonts w:ascii="Times New Roman" w:cs="Times New Roman" w:eastAsia="Times New Roman" w:hAnsi="Times New Roman"/>
          <w:sz w:val="14"/>
          <w:szCs w:val="14"/>
          <w:color w:val="auto"/>
        </w:rPr>
        <w:t>We have agreed to indemnify in certain circumstances the selling stockholders and any brokers, dealers and agents who may be deemed to be underwriters, if any, of the securities covered by the registration statement, against certain liabilities, including liabilities under the Securities Act. The selling stockholders have agreed to indemnify us in certain circumstances against certain liabilities, including liabilities under the Securities Act. In addition, the selling stockholders may agree to indemnify any underwriter, broker-dealer or agent against certain liabilities related to the selling of the securities, including liabilities arising under the Securities Act.</w:t>
      </w:r>
    </w:p>
    <w:p>
      <w:pPr>
        <w:spacing w:after="0" w:line="142" w:lineRule="exact"/>
        <w:rPr>
          <w:sz w:val="20"/>
          <w:szCs w:val="20"/>
          <w:color w:val="auto"/>
        </w:rPr>
      </w:pPr>
    </w:p>
    <w:p>
      <w:pPr>
        <w:ind w:left="1320" w:right="399"/>
        <w:spacing w:after="0" w:line="269" w:lineRule="auto"/>
        <w:rPr>
          <w:sz w:val="20"/>
          <w:szCs w:val="20"/>
          <w:color w:val="auto"/>
        </w:rPr>
      </w:pPr>
      <w:r>
        <w:rPr>
          <w:rFonts w:ascii="Times New Roman" w:cs="Times New Roman" w:eastAsia="Times New Roman" w:hAnsi="Times New Roman"/>
          <w:sz w:val="14"/>
          <w:szCs w:val="14"/>
          <w:color w:val="auto"/>
        </w:rPr>
        <w:t>The securities offered hereby were originally issued, or will be issued, to the selling stockholders pursuant to an exemption from the registration requirements of the Securities Act. We are registering the resale of the securities offered hereby pursuant to our obligations contained in the Purchase Agreement.</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10159"/>
          </w:cols>
          <w:pgMar w:left="300" w:top="388"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will not receive any proceeds from sales of any securities by the selling stockholders.</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cannot assure you that the selling stockholders will sell all or any portion of the securities offered hereby.</w:t>
      </w:r>
    </w:p>
    <w:p>
      <w:pPr>
        <w:spacing w:after="0" w:line="178" w:lineRule="exact"/>
        <w:rPr>
          <w:sz w:val="20"/>
          <w:szCs w:val="20"/>
          <w:color w:val="auto"/>
        </w:rPr>
      </w:pPr>
    </w:p>
    <w:p>
      <w:pPr>
        <w:ind w:left="1320" w:right="539"/>
        <w:spacing w:after="0" w:line="269" w:lineRule="auto"/>
        <w:rPr>
          <w:sz w:val="20"/>
          <w:szCs w:val="20"/>
          <w:color w:val="auto"/>
        </w:rPr>
      </w:pPr>
      <w:r>
        <w:rPr>
          <w:rFonts w:ascii="Times New Roman" w:cs="Times New Roman" w:eastAsia="Times New Roman" w:hAnsi="Times New Roman"/>
          <w:sz w:val="14"/>
          <w:szCs w:val="14"/>
          <w:color w:val="auto"/>
        </w:rPr>
        <w:t>To the extent permitted by applicable law, this plan of distribution may be modified in an additional prospectus supplement or otherwise. All of the foregoing may affect the marketability of the securities offered hereby. This offering will terminate on the date that all securities offered by this prospectus supplement have been sold by the selling stockholders.</w:t>
      </w:r>
    </w:p>
    <w:p>
      <w:pPr>
        <w:spacing w:after="0" w:line="84"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10159"/>
          </w:cols>
          <w:pgMar w:left="300" w:top="388"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1320" w:right="379" w:firstLine="346"/>
        <w:spacing w:after="0" w:line="286" w:lineRule="auto"/>
        <w:rPr>
          <w:sz w:val="20"/>
          <w:szCs w:val="20"/>
          <w:color w:val="auto"/>
        </w:rPr>
      </w:pPr>
      <w:r>
        <w:rPr>
          <w:rFonts w:ascii="Times New Roman" w:cs="Times New Roman" w:eastAsia="Times New Roman" w:hAnsi="Times New Roman"/>
          <w:sz w:val="14"/>
          <w:szCs w:val="14"/>
          <w:color w:val="auto"/>
        </w:rPr>
        <w:t>Venable LLP, Baltimore, Maryland, will issue an opinion to us regarding certain matters of Maryland law, including the validity of the common stock offered hereby.</w:t>
      </w:r>
    </w:p>
    <w:p>
      <w:pPr>
        <w:spacing w:after="0" w:line="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10159"/>
          </w:cols>
          <w:pgMar w:left="300" w:top="388"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320" w:right="379"/>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Inc. and its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left="1320" w:right="379"/>
        <w:spacing w:after="0" w:line="269"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L.P. and its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30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We file annual, quarterly and special reports, proxy statements and other information with the SEC. The SEC maintains a web site that contains reports, proxy and information statements, and other information regarding registrants that file electronically with the SEC at www.sec.gov. In addition, we maintain a web site that contains information about us at www.digitalrealty.com. The information found on, or otherwise accessible through, our website is not incorporated into, and does not form a part of, this prospectus supplement, the accompanying prospectus or any other report or document we file with or furnish to the SEC.</w:t>
      </w:r>
    </w:p>
    <w:p>
      <w:pPr>
        <w:spacing w:after="0" w:line="142"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(File Nos. 333-293494 and 333-293494-01), of which this prospectus supplement and the accompanying prospectus are a part, including exhibits, schedules and amendments filed with, or incorporated by reference in, such registration statement, under the Securities Act. This prospectus supplement and the accompanying prospectus do not contain all of the information set forth in the registration statement and exhibits and schedules to the registration statement. For further information with respect to our company, reference is made to the registration statement, including the exhibits to the registration statement. Statements contained in this prospectus supplement and the accompanying prospectus as to the contents of any contract or other document referred to, or incorporated by reference, in this prospectus supplement and the accompanying prospectus are not necessarily complete and, where that contract or document is an exhibit to the registration statement, each statement is qualified in all respects by the exhibit to which the reference relates. The registration statement, including the exhibits and schedules to the registration statement, is available to you on the SEC’s web site at www.sec.gov.</w:t>
      </w:r>
    </w:p>
    <w:p>
      <w:pPr>
        <w:spacing w:after="0" w:line="9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10159"/>
          </w:cols>
          <w:pgMar w:left="300" w:top="388"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p>
      <w:pPr>
        <w:spacing w:after="0" w:line="180"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The SEC allows us to “incorporate by reference” certain information we file with the SEC, which means that we can disclose important information to you by referring you to those documents instead of having to repeat the information in this prospectus supplement. The information incorporated by reference is considered to be part of this prospectus supplement and the accompanying prospectus, and later information that we file with the SEC will automatically update and supersede this information. We incorporate by reference into this prospectus supplement and the accompanying prospectus the following documents (except for any document or portion thereof deemed to be “furnished” and not filed in accordance with SEC rules and regulations):</w:t>
      </w:r>
    </w:p>
    <w:p>
      <w:pPr>
        <w:spacing w:after="0" w:line="68" w:lineRule="exact"/>
        <w:rPr>
          <w:sz w:val="20"/>
          <w:szCs w:val="20"/>
          <w:color w:val="auto"/>
        </w:rPr>
      </w:pPr>
    </w:p>
    <w:p>
      <w:pPr>
        <w:ind w:left="2080" w:right="379" w:hanging="337"/>
        <w:spacing w:after="0" w:line="286"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Annual Report on </w:t>
      </w:r>
      <w:hyperlink r:id="rId3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2025;</w:t>
      </w:r>
    </w:p>
    <w:p>
      <w:pPr>
        <w:spacing w:after="0" w:line="50"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3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from the Definitive Proxy Statement on </w:t>
      </w:r>
      <w:hyperlink r:id="rId32">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filed with the SEC on April 17, 2026;</w:t>
      </w:r>
    </w:p>
    <w:p>
      <w:pPr>
        <w:spacing w:after="0" w:line="50" w:lineRule="exact"/>
        <w:rPr>
          <w:rFonts w:ascii="Times New Roman" w:cs="Times New Roman" w:eastAsia="Times New Roman" w:hAnsi="Times New Roman"/>
          <w:sz w:val="14"/>
          <w:szCs w:val="14"/>
          <w:color w:val="auto"/>
        </w:rPr>
      </w:pPr>
    </w:p>
    <w:p>
      <w:pPr>
        <w:ind w:left="2080" w:right="419" w:hanging="337"/>
        <w:spacing w:after="0" w:line="286" w:lineRule="auto"/>
        <w:tabs>
          <w:tab w:leader="none" w:pos="2080" w:val="left"/>
        </w:tabs>
        <w:numPr>
          <w:ilvl w:val="0"/>
          <w:numId w:val="6"/>
        </w:numPr>
        <w:rPr>
          <w:rFonts w:ascii="Times New Roman" w:cs="Times New Roman" w:eastAsia="Times New Roman" w:hAnsi="Times New Roman"/>
          <w:sz w:val="14"/>
          <w:szCs w:val="14"/>
          <w:color w:val="0000EE"/>
        </w:rPr>
      </w:pPr>
      <w:hyperlink r:id="rId33">
        <w:r>
          <w:rPr>
            <w:rFonts w:ascii="Times New Roman" w:cs="Times New Roman" w:eastAsia="Times New Roman" w:hAnsi="Times New Roman"/>
            <w:sz w:val="14"/>
            <w:szCs w:val="14"/>
            <w:color w:val="auto"/>
          </w:rPr>
          <w:t xml:space="preserve">the Combined Quarterly Reports on Form 10-Q of Digital Realty Trust, Inc. and Digital Realty Trust, L.P. for the quarters ended </w:t>
        </w:r>
        <w:r>
          <w:rPr>
            <w:rFonts w:ascii="Times New Roman" w:cs="Times New Roman" w:eastAsia="Times New Roman" w:hAnsi="Times New Roman"/>
            <w:sz w:val="14"/>
            <w:szCs w:val="14"/>
            <w:u w:val="single" w:color="auto"/>
            <w:color w:val="0000EE"/>
          </w:rPr>
          <w:t>March</w:t>
        </w:r>
      </w:hyperlink>
      <w:r>
        <w:rPr>
          <w:rFonts w:ascii="Times New Roman" w:cs="Times New Roman" w:eastAsia="Times New Roman" w:hAnsi="Times New Roman"/>
          <w:sz w:val="14"/>
          <w:szCs w:val="14"/>
          <w:color w:val="auto"/>
        </w:rPr>
        <w:t xml:space="preserve"> </w:t>
      </w:r>
      <w:hyperlink r:id="rId33">
        <w:r>
          <w:rPr>
            <w:rFonts w:ascii="Times New Roman" w:cs="Times New Roman" w:eastAsia="Times New Roman" w:hAnsi="Times New Roman"/>
            <w:sz w:val="14"/>
            <w:szCs w:val="14"/>
            <w:u w:val="single" w:color="auto"/>
            <w:color w:val="0000EE"/>
          </w:rPr>
          <w:t>31, 2026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34">
        <w:r>
          <w:rPr>
            <w:rFonts w:ascii="Times New Roman" w:cs="Times New Roman" w:eastAsia="Times New Roman" w:hAnsi="Times New Roman"/>
            <w:sz w:val="14"/>
            <w:szCs w:val="14"/>
            <w:u w:val="single" w:color="auto"/>
            <w:color w:val="0000EE"/>
          </w:rPr>
          <w:t>June 30, 2026</w:t>
        </w:r>
      </w:hyperlink>
      <w:hyperlink r:id="rId33">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EE"/>
          </w:rPr>
          <w:t xml:space="preserve"> </w:t>
        </w:r>
      </w:hyperlink>
      <w:hyperlink r:id="rId35">
        <w:r>
          <w:rPr>
            <w:rFonts w:ascii="Times New Roman" w:cs="Times New Roman" w:eastAsia="Times New Roman" w:hAnsi="Times New Roman"/>
            <w:sz w:val="14"/>
            <w:szCs w:val="14"/>
            <w:u w:val="single" w:color="auto"/>
            <w:color w:val="0000EE"/>
          </w:rPr>
          <w:t>September 30, 2026</w:t>
        </w:r>
      </w:hyperlink>
      <w:hyperlink r:id="rId33">
        <w:r>
          <w:rPr>
            <w:rFonts w:ascii="Times New Roman" w:cs="Times New Roman" w:eastAsia="Times New Roman" w:hAnsi="Times New Roman"/>
            <w:sz w:val="14"/>
            <w:szCs w:val="14"/>
            <w:color w:val="000000"/>
          </w:rPr>
          <w:t>;</w:t>
        </w:r>
      </w:hyperlink>
    </w:p>
    <w:p>
      <w:pPr>
        <w:spacing w:after="0" w:line="50" w:lineRule="exact"/>
        <w:rPr>
          <w:rFonts w:ascii="Times New Roman" w:cs="Times New Roman" w:eastAsia="Times New Roman" w:hAnsi="Times New Roman"/>
          <w:sz w:val="14"/>
          <w:szCs w:val="14"/>
          <w:color w:val="0000EE"/>
        </w:rPr>
      </w:pPr>
    </w:p>
    <w:p>
      <w:pPr>
        <w:ind w:left="2080" w:right="219" w:hanging="337"/>
        <w:spacing w:after="0" w:line="269" w:lineRule="auto"/>
        <w:tabs>
          <w:tab w:leader="none" w:pos="2080" w:val="left"/>
        </w:tabs>
        <w:numPr>
          <w:ilvl w:val="0"/>
          <w:numId w:val="6"/>
        </w:numPr>
        <w:rPr>
          <w:rFonts w:ascii="Times New Roman" w:cs="Times New Roman" w:eastAsia="Times New Roman" w:hAnsi="Times New Roman"/>
          <w:sz w:val="14"/>
          <w:szCs w:val="14"/>
          <w:color w:val="0000EE"/>
        </w:rPr>
      </w:pPr>
      <w:hyperlink r:id="rId36">
        <w:r>
          <w:rPr>
            <w:rFonts w:ascii="Times New Roman" w:cs="Times New Roman" w:eastAsia="Times New Roman" w:hAnsi="Times New Roman"/>
            <w:sz w:val="14"/>
            <w:szCs w:val="14"/>
            <w:color w:val="auto"/>
          </w:rPr>
          <w:t xml:space="preserve">the Combined Current Reports on Form 8-K of Digital Realty Trust, Inc. and Digital Realty Trust, L.P. filed with the SEC on </w:t>
        </w:r>
        <w:r>
          <w:rPr>
            <w:rFonts w:ascii="Times New Roman" w:cs="Times New Roman" w:eastAsia="Times New Roman" w:hAnsi="Times New Roman"/>
            <w:sz w:val="14"/>
            <w:szCs w:val="14"/>
            <w:u w:val="single" w:color="auto"/>
            <w:color w:val="0000EE"/>
          </w:rPr>
          <w:t>February 17,</w:t>
        </w:r>
      </w:hyperlink>
      <w:r>
        <w:rPr>
          <w:rFonts w:ascii="Times New Roman" w:cs="Times New Roman" w:eastAsia="Times New Roman" w:hAnsi="Times New Roman"/>
          <w:sz w:val="14"/>
          <w:szCs w:val="14"/>
          <w:color w:val="auto"/>
        </w:rPr>
        <w:t xml:space="preserve"> </w:t>
      </w:r>
      <w:hyperlink r:id="rId37">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May 4,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June 22,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(excluding Item 7.01),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June 29, 2026</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(excluding Item 7.01),</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July 1,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August 19,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u w:val="single" w:color="auto"/>
            <w:color w:val="0000EE"/>
          </w:rPr>
          <w:t>October</w:t>
        </w:r>
      </w:hyperlink>
      <w:r>
        <w:rPr>
          <w:rFonts w:ascii="Times New Roman" w:cs="Times New Roman" w:eastAsia="Times New Roman" w:hAnsi="Times New Roman"/>
          <w:sz w:val="14"/>
          <w:szCs w:val="14"/>
          <w:color w:val="0000EE"/>
        </w:rPr>
        <w:t xml:space="preserve"> </w:t>
      </w:r>
      <w:hyperlink r:id="rId37">
        <w:r>
          <w:rPr>
            <w:rFonts w:ascii="Times New Roman" w:cs="Times New Roman" w:eastAsia="Times New Roman" w:hAnsi="Times New Roman"/>
            <w:sz w:val="14"/>
            <w:szCs w:val="14"/>
            <w:u w:val="single" w:color="auto"/>
            <w:color w:val="0000EE"/>
          </w:rPr>
          <w:t>6, 2026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38">
        <w:r>
          <w:rPr>
            <w:rFonts w:ascii="Times New Roman" w:cs="Times New Roman" w:eastAsia="Times New Roman" w:hAnsi="Times New Roman"/>
            <w:sz w:val="14"/>
            <w:szCs w:val="14"/>
            <w:u w:val="single" w:color="auto"/>
            <w:color w:val="0000EE"/>
          </w:rPr>
          <w:t>October 6, 2026</w:t>
        </w:r>
      </w:hyperlink>
      <w:hyperlink r:id="rId37">
        <w:r>
          <w:rPr>
            <w:rFonts w:ascii="Times New Roman" w:cs="Times New Roman" w:eastAsia="Times New Roman" w:hAnsi="Times New Roman"/>
            <w:sz w:val="14"/>
            <w:szCs w:val="14"/>
            <w:color w:val="000000"/>
          </w:rPr>
          <w:t>, and</w:t>
        </w:r>
        <w:r>
          <w:rPr>
            <w:rFonts w:ascii="Times New Roman" w:cs="Times New Roman" w:eastAsia="Times New Roman" w:hAnsi="Times New Roman"/>
            <w:sz w:val="14"/>
            <w:szCs w:val="14"/>
            <w:color w:val="0000EE"/>
          </w:rPr>
          <w:t xml:space="preserve"> </w:t>
        </w:r>
      </w:hyperlink>
      <w:hyperlink r:id="rId39">
        <w:r>
          <w:rPr>
            <w:rFonts w:ascii="Times New Roman" w:cs="Times New Roman" w:eastAsia="Times New Roman" w:hAnsi="Times New Roman"/>
            <w:sz w:val="14"/>
            <w:szCs w:val="14"/>
            <w:u w:val="single" w:color="auto"/>
            <w:color w:val="0000EE"/>
          </w:rPr>
          <w:t>October 9, 2026</w:t>
        </w:r>
      </w:hyperlink>
      <w:hyperlink r:id="rId37">
        <w:r>
          <w:rPr>
            <w:rFonts w:ascii="Times New Roman" w:cs="Times New Roman" w:eastAsia="Times New Roman" w:hAnsi="Times New Roman"/>
            <w:sz w:val="14"/>
            <w:szCs w:val="14"/>
            <w:color w:val="000000"/>
          </w:rPr>
          <w:t>;</w:t>
        </w:r>
      </w:hyperlink>
    </w:p>
    <w:p>
      <w:pPr>
        <w:spacing w:after="0" w:line="62" w:lineRule="exact"/>
        <w:rPr>
          <w:rFonts w:ascii="Times New Roman" w:cs="Times New Roman" w:eastAsia="Times New Roman" w:hAnsi="Times New Roman"/>
          <w:sz w:val="14"/>
          <w:szCs w:val="14"/>
          <w:color w:val="0000EE"/>
        </w:rPr>
      </w:pPr>
    </w:p>
    <w:p>
      <w:pPr>
        <w:ind w:left="2080" w:hanging="337"/>
        <w:spacing w:after="0"/>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Current Report on Form 8-K of Digital Realty Trust, Inc. filed with the SEC on </w:t>
      </w:r>
      <w:hyperlink r:id="rId40">
        <w:r>
          <w:rPr>
            <w:rFonts w:ascii="Times New Roman" w:cs="Times New Roman" w:eastAsia="Times New Roman" w:hAnsi="Times New Roman"/>
            <w:sz w:val="14"/>
            <w:szCs w:val="14"/>
            <w:u w:val="single" w:color="auto"/>
            <w:color w:val="0000EE"/>
          </w:rPr>
          <w:t>June 1, 2026</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2080" w:right="619" w:hanging="337"/>
        <w:spacing w:after="0" w:line="269"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common stock, par value $0.01 per share, contained in Digital Realty Trust, Inc.’s Registration Statement on </w:t>
      </w:r>
      <w:hyperlink r:id="rId41">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October 28, 2004 (file number 001-32336), including any amendment or reports filed for the purpose of updating this description; and</w:t>
      </w:r>
    </w:p>
    <w:p>
      <w:pPr>
        <w:spacing w:after="0" w:line="62" w:lineRule="exact"/>
        <w:rPr>
          <w:rFonts w:ascii="Times New Roman" w:cs="Times New Roman" w:eastAsia="Times New Roman" w:hAnsi="Times New Roman"/>
          <w:sz w:val="14"/>
          <w:szCs w:val="14"/>
          <w:color w:val="auto"/>
        </w:rPr>
      </w:pPr>
    </w:p>
    <w:p>
      <w:pPr>
        <w:ind w:left="2080" w:right="219" w:hanging="337"/>
        <w:spacing w:after="0" w:line="269" w:lineRule="auto"/>
        <w:tabs>
          <w:tab w:leader="none" w:pos="20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with the SEC pursuant to Sections 13(a), 13(c), 14 or 15(d) of the Exchange Act after the date of this prospectus supplement and prior to the termination of this offering (excluding any portions of such documents that are deemed “furnished” to the SEC pursuant to applicable rules and regulations).</w:t>
      </w:r>
    </w:p>
    <w:p>
      <w:pPr>
        <w:spacing w:after="0" w:line="137" w:lineRule="exact"/>
        <w:rPr>
          <w:rFonts w:ascii="Times New Roman" w:cs="Times New Roman" w:eastAsia="Times New Roman" w:hAnsi="Times New Roman"/>
          <w:sz w:val="14"/>
          <w:szCs w:val="14"/>
          <w:color w:val="auto"/>
        </w:rPr>
      </w:pPr>
    </w:p>
    <w:p>
      <w:pPr>
        <w:jc w:val="both"/>
        <w:ind w:left="1320" w:right="259"/>
        <w:spacing w:after="0" w:line="269" w:lineRule="auto"/>
        <w:rPr>
          <w:sz w:val="20"/>
          <w:szCs w:val="20"/>
          <w:color w:val="auto"/>
        </w:rPr>
      </w:pPr>
      <w:r>
        <w:rPr>
          <w:rFonts w:ascii="Times New Roman" w:cs="Times New Roman" w:eastAsia="Times New Roman" w:hAnsi="Times New Roman"/>
          <w:sz w:val="14"/>
          <w:szCs w:val="14"/>
          <w:color w:val="auto"/>
        </w:rPr>
        <w:t>We will provide without charge to each person to whom a prospectus supplement is delivered, on written or oral request of that person, a copy of any or all of the documents we are incorporating by reference into this prospectus supplement, other than exhibits to those documents unless those exhibits are specifically incorporated by reference into those documents. A written request should be addressed to Investor Relations, Digital Realty Trust, Inc., 601 West 2</w:t>
      </w:r>
      <w:r>
        <w:rPr>
          <w:rFonts w:ascii="Times New Roman" w:cs="Times New Roman" w:eastAsia="Times New Roman" w:hAnsi="Times New Roman"/>
          <w:sz w:val="21"/>
          <w:szCs w:val="21"/>
          <w:color w:val="auto"/>
          <w:vertAlign w:val="superscript"/>
        </w:rPr>
        <w:t>nd</w:t>
      </w:r>
      <w:r>
        <w:rPr>
          <w:rFonts w:ascii="Times New Roman" w:cs="Times New Roman" w:eastAsia="Times New Roman" w:hAnsi="Times New Roman"/>
          <w:sz w:val="14"/>
          <w:szCs w:val="14"/>
          <w:color w:val="auto"/>
        </w:rPr>
        <w:t xml:space="preserve"> Street, Floor 32, Austin, Texas 78701.</w:t>
      </w:r>
    </w:p>
    <w:p>
      <w:pPr>
        <w:spacing w:after="0" w:line="269" w:lineRule="exact"/>
        <w:rPr>
          <w:rFonts w:ascii="Times New Roman" w:cs="Times New Roman" w:eastAsia="Times New Roman" w:hAnsi="Times New Roman"/>
          <w:sz w:val="14"/>
          <w:szCs w:val="14"/>
          <w:color w:val="auto"/>
        </w:rPr>
      </w:pPr>
    </w:p>
    <w:p>
      <w:pPr>
        <w:ind w:left="5520"/>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10159"/>
          </w:cols>
          <w:pgMar w:left="300" w:top="388"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1"/>
          <w:szCs w:val="11"/>
          <w:b w:val="1"/>
          <w:bCs w:val="1"/>
          <w:color w:val="auto"/>
        </w:rPr>
        <w:t>PROSPECTUS</w:t>
      </w:r>
    </w:p>
    <w:p>
      <w:pPr>
        <w:spacing w:after="0" w:line="4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Digital Realty Trust, Inc.</w:t>
      </w:r>
    </w:p>
    <w:p>
      <w:pPr>
        <w:spacing w:after="0" w:line="1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4"/>
          <w:szCs w:val="24"/>
          <w:b w:val="1"/>
          <w:bCs w:val="1"/>
          <w:color w:val="auto"/>
        </w:rPr>
        <w:t>Common Stock, Preferred Stock, Depositary Shares, Warrants and Guarantees</w:t>
      </w:r>
    </w:p>
    <w:p>
      <w:pPr>
        <w:spacing w:after="0" w:line="1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Digital Realty Trust, L.P.</w:t>
      </w:r>
    </w:p>
    <w:p>
      <w:pPr>
        <w:spacing w:after="0" w:line="13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196215</wp:posOffset>
            </wp:positionV>
            <wp:extent cx="1157605"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1320" w:right="219"/>
        <w:spacing w:after="0" w:line="288" w:lineRule="auto"/>
        <w:rPr>
          <w:sz w:val="20"/>
          <w:szCs w:val="20"/>
          <w:color w:val="auto"/>
        </w:rPr>
      </w:pPr>
      <w:r>
        <w:rPr>
          <w:rFonts w:ascii="Times New Roman" w:cs="Times New Roman" w:eastAsia="Times New Roman" w:hAnsi="Times New Roman"/>
          <w:sz w:val="12"/>
          <w:szCs w:val="12"/>
          <w:color w:val="auto"/>
        </w:rPr>
        <w:t>We may from time to time offer, in one or more series or classes, separately or together, and in amounts, at prices and on terms to be set forth in one or more supplements to this prospectus, the following securities: (i) shares of Digital Realty Trust, Inc.’s common stock, par value $0.01 per share, (ii) shares of Digital Realty Trust, Inc.’s preferred stock, par value $0.01 per share, (iii) depositary shares representing entitlement to all rights and preferences of fractions of shares of Digital Realty Trust, Inc.’s preferred stock of a specified series and represented by depositary receipts, (iv) warrants to purchase shares of Digital Realty Trust, Inc.’s common stock or preferred stock or depositary shares and (v) debt securities of Digital Realty Trust, L.P., which may be fully and unconditionally guaranteed by Digital Realty Trust, Inc.</w:t>
      </w:r>
    </w:p>
    <w:p>
      <w:pPr>
        <w:spacing w:after="0" w:line="137"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3"/>
          <w:szCs w:val="13"/>
          <w:color w:val="auto"/>
        </w:rPr>
        <w:t>This prospectus also covers delayed delivery contracts that may be issued by Digital Realty Trust, Inc. or Digital Realty Trust, L.P. under which the counterparty may be required to purchase common stock, preferred stock, depositary shares or warrants to purchase common stock, preferred stock or depositary shares of Digital Realty Trust, Inc. or debt securities of Digital Realty Trust, L.P. (including guarantees of the debt securities by Digital Realty Trust, Inc.). Delayed delivery contracts may be issued together with the specific securities to which they relate. In addition, securities registered hereunder may be sold separately, together or as units with other securities registered hereunder.</w:t>
      </w:r>
    </w:p>
    <w:p>
      <w:pPr>
        <w:spacing w:after="0" w:line="152" w:lineRule="exact"/>
        <w:rPr>
          <w:sz w:val="20"/>
          <w:szCs w:val="20"/>
          <w:color w:val="auto"/>
        </w:rPr>
      </w:pPr>
    </w:p>
    <w:p>
      <w:pPr>
        <w:ind w:left="1320" w:right="259"/>
        <w:spacing w:after="0" w:line="324" w:lineRule="auto"/>
        <w:rPr>
          <w:sz w:val="20"/>
          <w:szCs w:val="20"/>
          <w:color w:val="auto"/>
        </w:rPr>
      </w:pPr>
      <w:r>
        <w:rPr>
          <w:rFonts w:ascii="Times New Roman" w:cs="Times New Roman" w:eastAsia="Times New Roman" w:hAnsi="Times New Roman"/>
          <w:sz w:val="12"/>
          <w:szCs w:val="12"/>
          <w:color w:val="auto"/>
        </w:rPr>
        <w:t>We refer to the common stock, preferred stock, depositary shares, warrants and debt securities (together with any related guarantees) registered hereunder collectively as the “securities” in this prospectus. We will offer our securities in amounts, at prices and on terms determined at the time of the offering of any such security.</w:t>
      </w:r>
    </w:p>
    <w:p>
      <w:pPr>
        <w:spacing w:after="0" w:line="115"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3"/>
          <w:szCs w:val="13"/>
          <w:color w:val="auto"/>
        </w:rPr>
        <w:t>The specific terms of each series or class of the securities will be set forth in the applicable prospectus supplement and will include, as applicable: (i) in the case of common stock, any public offering price; (ii) in the case of preferred stock, the specific title and any dividend, liquidation, redemption, conversion, voting and other rights and any public offering price; (iii) in the case of depositary shares, the fractional share of preferred stock represented by each such depositary share; (iv) in the case of warrants, the duration, offering price, exercise price and detachability; and (v) in the case of debt securities and, as applicable, related guarantees, the specific terms of such debt securities and related guarantees. In addition, because Digital Realty Trust, Inc. is organized and conducts its operations so as to qualify as a real estate investment trust, or REIT, for U.S. federal income tax purposes, the specific terms of any securities may include limitations on actual or constructive ownership and restrictions on transfer of the securities, in each case as may be appropriate to preserve Digital Realty Trust, Inc.’s status as a REIT.</w:t>
      </w:r>
    </w:p>
    <w:p>
      <w:pPr>
        <w:spacing w:after="0" w:line="153" w:lineRule="exact"/>
        <w:rPr>
          <w:sz w:val="20"/>
          <w:szCs w:val="20"/>
          <w:color w:val="auto"/>
        </w:rPr>
      </w:pPr>
    </w:p>
    <w:p>
      <w:pPr>
        <w:ind w:left="1320" w:right="239"/>
        <w:spacing w:after="0" w:line="260" w:lineRule="auto"/>
        <w:rPr>
          <w:sz w:val="20"/>
          <w:szCs w:val="20"/>
          <w:color w:val="auto"/>
        </w:rPr>
      </w:pPr>
      <w:r>
        <w:rPr>
          <w:rFonts w:ascii="Times New Roman" w:cs="Times New Roman" w:eastAsia="Times New Roman" w:hAnsi="Times New Roman"/>
          <w:sz w:val="13"/>
          <w:szCs w:val="13"/>
          <w:color w:val="auto"/>
        </w:rPr>
        <w:t>The securities may be offered directly by us, through agents designated from time to time by us, or to or through underwriters or dealers. These securities also may be offered by securityholders, if so provided in a prospectus supplement hereto. We will provide specific information about any selling securityholders in one or more supplements to this prospectus. If any agents, dealers or underwriters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entitled “Plan of Distribution” and “About this Prospectus” for more information. No securities may be sold without delivery of this prospectus and the applicable prospectus supplement describing the method and terms of the offering of such series of securities.</w:t>
      </w:r>
    </w:p>
    <w:p>
      <w:pPr>
        <w:spacing w:after="0" w:line="152" w:lineRule="exact"/>
        <w:rPr>
          <w:sz w:val="20"/>
          <w:szCs w:val="20"/>
          <w:color w:val="auto"/>
        </w:rPr>
      </w:pPr>
    </w:p>
    <w:p>
      <w:pPr>
        <w:ind w:left="1320" w:right="199"/>
        <w:spacing w:after="0" w:line="280" w:lineRule="auto"/>
        <w:rPr>
          <w:sz w:val="20"/>
          <w:szCs w:val="20"/>
          <w:color w:val="auto"/>
        </w:rPr>
      </w:pPr>
      <w:r>
        <w:rPr>
          <w:rFonts w:ascii="Times New Roman" w:cs="Times New Roman" w:eastAsia="Times New Roman" w:hAnsi="Times New Roman"/>
          <w:sz w:val="13"/>
          <w:szCs w:val="13"/>
          <w:color w:val="auto"/>
        </w:rPr>
        <w:t>Digital Realty Trust, Inc.’s common stock, series J preferred stock, series K preferred stock and series L preferred stock currently trade on the New York Stock Exchange, or NYSE, under the symbols “DLR”, “ “DLR Pr J”, “DLR Pr K”, or “DLR Pr L”, respectively.</w:t>
      </w:r>
    </w:p>
    <w:p>
      <w:pPr>
        <w:spacing w:after="0" w:line="129" w:lineRule="exact"/>
        <w:rPr>
          <w:sz w:val="20"/>
          <w:szCs w:val="20"/>
          <w:color w:val="auto"/>
        </w:rPr>
      </w:pPr>
    </w:p>
    <w:p>
      <w:pPr>
        <w:ind w:left="1320" w:right="379"/>
        <w:spacing w:after="0" w:line="333" w:lineRule="auto"/>
        <w:rPr>
          <w:sz w:val="20"/>
          <w:szCs w:val="20"/>
          <w:color w:val="auto"/>
        </w:rPr>
      </w:pPr>
      <w:r>
        <w:rPr>
          <w:rFonts w:ascii="Times New Roman" w:cs="Times New Roman" w:eastAsia="Times New Roman" w:hAnsi="Times New Roman"/>
          <w:sz w:val="14"/>
          <w:szCs w:val="14"/>
          <w:b w:val="1"/>
          <w:bCs w:val="1"/>
          <w:color w:val="auto"/>
        </w:rPr>
        <w:t>Investing in our securities involves risks. See “</w:t>
      </w:r>
      <w:r>
        <w:rPr>
          <w:rFonts w:ascii="Times New Roman" w:cs="Times New Roman" w:eastAsia="Times New Roman" w:hAnsi="Times New Roman"/>
          <w:sz w:val="14"/>
          <w:szCs w:val="14"/>
          <w:b w:val="1"/>
          <w:bCs w:val="1"/>
          <w:u w:val="single" w:color="auto"/>
          <w:color w:val="0000EE"/>
        </w:rPr>
        <w:t>Risk Factors</w:t>
      </w:r>
      <w:r>
        <w:rPr>
          <w:rFonts w:ascii="Times New Roman" w:cs="Times New Roman" w:eastAsia="Times New Roman" w:hAnsi="Times New Roman"/>
          <w:sz w:val="14"/>
          <w:szCs w:val="14"/>
          <w:b w:val="1"/>
          <w:bCs w:val="1"/>
          <w:color w:val="auto"/>
        </w:rPr>
        <w:t>” beginning on page 3 of this prospectus and any similar section contained in the applicable prospectus supplement for certain risk factors you should consider before investing in our securities.</w:t>
      </w:r>
    </w:p>
    <w:p>
      <w:pPr>
        <w:spacing w:after="0" w:line="91" w:lineRule="exact"/>
        <w:rPr>
          <w:sz w:val="20"/>
          <w:szCs w:val="20"/>
          <w:color w:val="auto"/>
        </w:rPr>
      </w:pPr>
    </w:p>
    <w:p>
      <w:pPr>
        <w:ind w:left="1320" w:right="319"/>
        <w:spacing w:after="0" w:line="283" w:lineRule="auto"/>
        <w:rPr>
          <w:sz w:val="20"/>
          <w:szCs w:val="20"/>
          <w:color w:val="auto"/>
        </w:rPr>
      </w:pPr>
      <w:r>
        <w:rPr>
          <w:rFonts w:ascii="Times New Roman" w:cs="Times New Roman" w:eastAsia="Times New Roman" w:hAnsi="Times New Roman"/>
          <w:sz w:val="13"/>
          <w:szCs w:val="13"/>
          <w:b w:val="1"/>
          <w:bCs w:val="1"/>
          <w:color w:val="auto"/>
        </w:rPr>
        <w:t>Neither the United States Securities and Exchange Commission nor any state securities commission has approved or disapproved of these securities or passed 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161290</wp:posOffset>
            </wp:positionV>
            <wp:extent cx="1157605"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3"/>
          <w:szCs w:val="13"/>
          <w:b w:val="1"/>
          <w:bCs w:val="1"/>
          <w:color w:val="auto"/>
        </w:rPr>
        <w:t>The date of this prospectus is February 17, 2026.</w:t>
      </w:r>
    </w:p>
    <w:p>
      <w:pPr>
        <w:sectPr>
          <w:pgSz w:w="11900" w:h="16838" w:orient="portrait"/>
          <w:cols w:equalWidth="0" w:num="1">
            <w:col w:w="10159"/>
          </w:cols>
          <w:pgMar w:left="300" w:top="388"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in this prospectus, in an accompanying prospectus supplement or incorporated by reference herein or therein. We have not authorized anyone to provide you with information or make any representation that is different. If anyone provides you with different or inconsistent information, you should not rely on it. This prospectus and any accompanying prospectus supplement do not constitute an offer to sell or a solicitation of an offer to buy any securities other than the registered securities to which they relate, and this prospectus and any accompanying prospectus supplement do not constitute an offer to sell or the solicitation of an offer to buy securities in any jurisdiction where, or to any person to whom, it is unlawful to make such an offer or solicitation. You should not assume that the information contained in this prospectus and any accompanying prospectus supplement is correct on any date after the respective dates of this prospectus and such prospectus supplement or supplements, as applicable, even though this prospectus and such prospectus supplement or supplements are delivered or securities are sold pursuant to this prospectus and such prospectus supplement or supplements at a later date. Since the respective dates of the prospectus contained in this registration statement and any accompanying prospectus supplement, our business, financial condition, results of operations and prospects may have changed. We may only use this prospectus to sell the securities if it is accompanied by a prospectus supplement.</w:t>
      </w:r>
    </w:p>
    <w:p>
      <w:pPr>
        <w:sectPr>
          <w:pgSz w:w="11900" w:h="16838" w:orient="portrait"/>
          <w:cols w:equalWidth="0" w:num="1">
            <w:col w:w="10159"/>
          </w:cols>
          <w:pgMar w:left="300" w:top="388"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1320" w:type="dxa"/>
        <w:tblCellMar>
          <w:top w:w="0" w:type="dxa"/>
          <w:left w:w="0" w:type="dxa"/>
          <w:bottom w:w="0" w:type="dxa"/>
          <w:right w:w="0" w:type="dxa"/>
        </w:tblCellMar>
      </w:tblPr>
      <w:tr>
        <w:trPr>
          <w:trHeight w:val="186"/>
        </w:trPr>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260" w:type="dxa"/>
            <w:vAlign w:val="bottom"/>
          </w:tcPr>
          <w:p>
            <w:pPr>
              <w:spacing w:after="0"/>
              <w:rPr>
                <w:sz w:val="16"/>
                <w:szCs w:val="16"/>
                <w:color w:val="auto"/>
              </w:rPr>
            </w:pPr>
          </w:p>
        </w:tc>
      </w:tr>
      <w:tr>
        <w:trPr>
          <w:trHeight w:val="329"/>
        </w:trPr>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7"/>
              </w:rPr>
              <w:t>Page</w:t>
            </w:r>
          </w:p>
        </w:tc>
      </w:tr>
      <w:tr>
        <w:trPr>
          <w:trHeight w:val="150"/>
        </w:trPr>
        <w:tc>
          <w:tcPr>
            <w:tcW w:w="834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About This Prospectus</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r>
      <w:tr>
        <w:trPr>
          <w:trHeight w:val="150"/>
        </w:trPr>
        <w:tc>
          <w:tcPr>
            <w:tcW w:w="1280" w:type="dxa"/>
            <w:vAlign w:val="bottom"/>
            <w:tcBorders>
              <w:top w:val="single" w:sz="8" w:color="0000EE"/>
            </w:tcBorders>
            <w:gridSpan w:val="7"/>
          </w:tcPr>
          <w:p>
            <w:pPr>
              <w:spacing w:after="0" w:line="150" w:lineRule="exact"/>
              <w:rPr>
                <w:sz w:val="20"/>
                <w:szCs w:val="20"/>
                <w:color w:val="auto"/>
              </w:rPr>
            </w:pPr>
            <w:r>
              <w:rPr>
                <w:rFonts w:ascii="Times New Roman" w:cs="Times New Roman" w:eastAsia="Times New Roman" w:hAnsi="Times New Roman"/>
                <w:sz w:val="14"/>
                <w:szCs w:val="14"/>
                <w:color w:val="0000EE"/>
              </w:rPr>
              <w:t>Our Company</w:t>
            </w:r>
          </w:p>
        </w:tc>
        <w:tc>
          <w:tcPr>
            <w:tcW w:w="7060" w:type="dxa"/>
            <w:vAlign w:val="bottom"/>
            <w:gridSpan w:val="13"/>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150"/>
        </w:trPr>
        <w:tc>
          <w:tcPr>
            <w:tcW w:w="80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Risk Factors</w:t>
            </w:r>
          </w:p>
        </w:tc>
        <w:tc>
          <w:tcPr>
            <w:tcW w:w="7540" w:type="dxa"/>
            <w:vAlign w:val="bottom"/>
            <w:gridSpan w:val="16"/>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834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2840" w:type="dxa"/>
            <w:vAlign w:val="bottom"/>
            <w:tcBorders>
              <w:bottom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5500" w:type="dxa"/>
            <w:vAlign w:val="bottom"/>
            <w:gridSpan w:val="4"/>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w:t>
            </w:r>
          </w:p>
        </w:tc>
      </w:tr>
      <w:tr>
        <w:trPr>
          <w:trHeight w:val="150"/>
        </w:trPr>
        <w:tc>
          <w:tcPr>
            <w:tcW w:w="92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8"/>
              </w:rPr>
              <w:t>Use of Proceeds</w:t>
            </w:r>
          </w:p>
        </w:tc>
        <w:tc>
          <w:tcPr>
            <w:tcW w:w="7420" w:type="dxa"/>
            <w:vAlign w:val="bottom"/>
            <w:gridSpan w:val="15"/>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6</w:t>
            </w:r>
          </w:p>
        </w:tc>
      </w:tr>
      <w:tr>
        <w:trPr>
          <w:trHeight w:val="150"/>
        </w:trPr>
        <w:tc>
          <w:tcPr>
            <w:tcW w:w="1740" w:type="dxa"/>
            <w:vAlign w:val="bottom"/>
            <w:tcBorders>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Description of Common Stock</w:t>
            </w:r>
          </w:p>
        </w:tc>
        <w:tc>
          <w:tcPr>
            <w:tcW w:w="6600" w:type="dxa"/>
            <w:vAlign w:val="bottom"/>
            <w:gridSpan w:val="9"/>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834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Description of Preferred Stock</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188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Depositary Shares</w:t>
            </w:r>
          </w:p>
        </w:tc>
        <w:tc>
          <w:tcPr>
            <w:tcW w:w="6460" w:type="dxa"/>
            <w:vAlign w:val="bottom"/>
            <w:gridSpan w:val="8"/>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r>
      <w:tr>
        <w:trPr>
          <w:trHeight w:val="150"/>
        </w:trPr>
        <w:tc>
          <w:tcPr>
            <w:tcW w:w="1360" w:type="dxa"/>
            <w:vAlign w:val="bottom"/>
            <w:tcBorders>
              <w:bottom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Warrants</w:t>
            </w:r>
          </w:p>
        </w:tc>
        <w:tc>
          <w:tcPr>
            <w:tcW w:w="6980" w:type="dxa"/>
            <w:vAlign w:val="bottom"/>
            <w:gridSpan w:val="11"/>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24</w:t>
            </w:r>
          </w:p>
        </w:tc>
      </w:tr>
      <w:tr>
        <w:trPr>
          <w:trHeight w:val="150"/>
        </w:trPr>
        <w:tc>
          <w:tcPr>
            <w:tcW w:w="310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 and Related Guarantees</w:t>
            </w:r>
          </w:p>
        </w:tc>
        <w:tc>
          <w:tcPr>
            <w:tcW w:w="5240" w:type="dxa"/>
            <w:vAlign w:val="bottom"/>
            <w:gridSpan w:val="3"/>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26</w:t>
            </w:r>
          </w:p>
        </w:tc>
      </w:tr>
      <w:tr>
        <w:trPr>
          <w:trHeight w:val="150"/>
        </w:trPr>
        <w:tc>
          <w:tcPr>
            <w:tcW w:w="226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w w:val="99"/>
              </w:rPr>
              <w:t>Restrictions on Ownership and Transfer</w:t>
            </w:r>
          </w:p>
        </w:tc>
        <w:tc>
          <w:tcPr>
            <w:tcW w:w="6080" w:type="dxa"/>
            <w:vAlign w:val="bottom"/>
            <w:gridSpan w:val="6"/>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35</w:t>
            </w:r>
          </w:p>
        </w:tc>
      </w:tr>
      <w:tr>
        <w:trPr>
          <w:trHeight w:val="150"/>
        </w:trPr>
        <w:tc>
          <w:tcPr>
            <w:tcW w:w="834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Description of the Partnership Agreement of Digital Realty Trust, L.P.</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39</w:t>
            </w:r>
          </w:p>
        </w:tc>
      </w:tr>
      <w:tr>
        <w:trPr>
          <w:trHeight w:val="20"/>
        </w:trPr>
        <w:tc>
          <w:tcPr>
            <w:tcW w:w="4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80" w:type="dxa"/>
            <w:vAlign w:val="bottom"/>
            <w:gridSpan w:val="7"/>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50"/>
        </w:trPr>
        <w:tc>
          <w:tcPr>
            <w:tcW w:w="5500" w:type="dxa"/>
            <w:vAlign w:val="bottom"/>
            <w:tcBorders>
              <w:bottom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rPr>
              <w:t>Material Provisions of Maryland Law and of the Charter and Bylaws of Digital Realty Trust, Inc.</w:t>
            </w:r>
          </w:p>
        </w:tc>
        <w:tc>
          <w:tcPr>
            <w:tcW w:w="2840" w:type="dxa"/>
            <w:vAlign w:val="bottom"/>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46</w:t>
            </w:r>
          </w:p>
        </w:tc>
      </w:tr>
      <w:tr>
        <w:trPr>
          <w:trHeight w:val="150"/>
        </w:trPr>
        <w:tc>
          <w:tcPr>
            <w:tcW w:w="8340" w:type="dxa"/>
            <w:vAlign w:val="bottom"/>
            <w:gridSpan w:val="20"/>
          </w:tcPr>
          <w:p>
            <w:pPr>
              <w:spacing w:after="0" w:line="150" w:lineRule="exact"/>
              <w:rPr>
                <w:sz w:val="20"/>
                <w:szCs w:val="20"/>
                <w:color w:val="auto"/>
              </w:rPr>
            </w:pPr>
            <w:r>
              <w:rPr>
                <w:rFonts w:ascii="Times New Roman" w:cs="Times New Roman" w:eastAsia="Times New Roman" w:hAnsi="Times New Roman"/>
                <w:sz w:val="14"/>
                <w:szCs w:val="14"/>
                <w:color w:val="0000EE"/>
              </w:rPr>
              <w:t>United States Federal Income Tax Considerations</w:t>
            </w: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53</w:t>
            </w:r>
          </w:p>
        </w:tc>
      </w:tr>
      <w:tr>
        <w:trPr>
          <w:trHeight w:val="150"/>
        </w:trPr>
        <w:tc>
          <w:tcPr>
            <w:tcW w:w="2800" w:type="dxa"/>
            <w:vAlign w:val="bottom"/>
            <w:tcBorders>
              <w:top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4"/>
                <w:szCs w:val="14"/>
                <w:color w:val="0000EE"/>
              </w:rPr>
              <w:t>Selling Securityholders</w:t>
            </w:r>
          </w:p>
        </w:tc>
        <w:tc>
          <w:tcPr>
            <w:tcW w:w="5540" w:type="dxa"/>
            <w:vAlign w:val="bottom"/>
            <w:gridSpan w:val="5"/>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80</w:t>
            </w:r>
          </w:p>
        </w:tc>
      </w:tr>
      <w:tr>
        <w:trPr>
          <w:trHeight w:val="150"/>
        </w:trPr>
        <w:tc>
          <w:tcPr>
            <w:tcW w:w="1320" w:type="dxa"/>
            <w:vAlign w:val="bottom"/>
            <w:tcBorders>
              <w:top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7020" w:type="dxa"/>
            <w:vAlign w:val="bottom"/>
            <w:gridSpan w:val="12"/>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81</w:t>
            </w:r>
          </w:p>
        </w:tc>
      </w:tr>
      <w:tr>
        <w:trPr>
          <w:trHeight w:val="150"/>
        </w:trPr>
        <w:tc>
          <w:tcPr>
            <w:tcW w:w="1120" w:type="dxa"/>
            <w:vAlign w:val="bottom"/>
            <w:tcBorders>
              <w:top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7220" w:type="dxa"/>
            <w:vAlign w:val="bottom"/>
            <w:gridSpan w:val="14"/>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83</w:t>
            </w:r>
          </w:p>
        </w:tc>
      </w:tr>
      <w:tr>
        <w:trPr>
          <w:trHeight w:val="150"/>
        </w:trPr>
        <w:tc>
          <w:tcPr>
            <w:tcW w:w="44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4"/>
                <w:szCs w:val="14"/>
                <w:color w:val="0000EE"/>
                <w:w w:val="98"/>
              </w:rPr>
              <w:t>Experts</w:t>
            </w:r>
          </w:p>
        </w:tc>
        <w:tc>
          <w:tcPr>
            <w:tcW w:w="340" w:type="dxa"/>
            <w:vAlign w:val="bottom"/>
            <w:tcBorders>
              <w:top w:val="single" w:sz="8" w:color="0000EE"/>
            </w:tcBorders>
            <w:gridSpan w:val="2"/>
          </w:tcPr>
          <w:p>
            <w:pPr>
              <w:spacing w:after="0"/>
              <w:rPr>
                <w:sz w:val="13"/>
                <w:szCs w:val="13"/>
                <w:color w:val="auto"/>
              </w:rPr>
            </w:pPr>
          </w:p>
        </w:tc>
        <w:tc>
          <w:tcPr>
            <w:tcW w:w="7560" w:type="dxa"/>
            <w:vAlign w:val="bottom"/>
            <w:gridSpan w:val="17"/>
          </w:tcPr>
          <w:p>
            <w:pPr>
              <w:spacing w:after="0"/>
              <w:rPr>
                <w:sz w:val="13"/>
                <w:szCs w:val="13"/>
                <w:color w:val="auto"/>
              </w:rPr>
            </w:pPr>
          </w:p>
        </w:tc>
        <w:tc>
          <w:tcPr>
            <w:tcW w:w="26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84</w:t>
            </w:r>
          </w:p>
        </w:tc>
      </w:tr>
    </w:tbl>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88"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0"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U.S. Securities and Exchange Commission, or the SEC, as a “well-known seasoned issuer” as defined in Rule 405 under the Securities Act of 1933, as amended, using a “shelf” registration process. By using a shelf registration statement, we may sell securities from time to time and in one or more offerings and the selling securityholders to be named in a supplement to this prospectus may, from time to time, sell shares of common stock in one or more offerings as described in this prospectus. Each time that we or the selling securityholders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or incorporated by reference into this prospectus with respect to that offering. If there is any inconsistency between the information in or incorporated by reference into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headings “Where You Can Find More Information” and “Incorporation of Certain Documents by Reference.”</w:t>
      </w:r>
    </w:p>
    <w:p>
      <w:pPr>
        <w:spacing w:after="0" w:line="152"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color w:val="auto"/>
        </w:rPr>
        <w:t>Neither we nor any selling securityholder has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Neither we nor any selling securityholder will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46" w:lineRule="exact"/>
        <w:rPr>
          <w:sz w:val="20"/>
          <w:szCs w:val="20"/>
          <w:color w:val="auto"/>
        </w:rPr>
      </w:pPr>
    </w:p>
    <w:p>
      <w:pPr>
        <w:ind w:left="1320" w:right="279"/>
        <w:spacing w:after="0" w:line="261" w:lineRule="auto"/>
        <w:rPr>
          <w:sz w:val="20"/>
          <w:szCs w:val="20"/>
          <w:color w:val="auto"/>
        </w:rPr>
      </w:pPr>
      <w:r>
        <w:rPr>
          <w:rFonts w:ascii="Times New Roman" w:cs="Times New Roman" w:eastAsia="Times New Roman" w:hAnsi="Times New Roman"/>
          <w:sz w:val="14"/>
          <w:szCs w:val="14"/>
          <w:color w:val="auto"/>
        </w:rPr>
        <w:t>Unless otherwise indicated or unless the context requires otherwise, all references in this prospectus to “we,” “us,” “our,” “our company” or “the company” refer to Digital Realty Trust, Inc., a Maryland corporation, together with its consolidated subsidiaries, including Digital Realty Trust, L.P., a Maryland limited partnership, of which Digital Realty Trust, Inc. is the sole general partner. In statements regarding qualification as a REIT, such terms refer solely to Digital Realty Trust, Inc. Unless otherwise indicated or unless the context requires otherwise, all references in this prospectus to “our operating partnership” or “the operating partnership” refer to Digital Realty Trust, L.P. together with its consolidated subsidiaries.</w:t>
      </w:r>
    </w:p>
    <w:p>
      <w:pPr>
        <w:spacing w:after="0" w:line="8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88"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OUR COMPANY</w:t>
      </w:r>
    </w:p>
    <w:p>
      <w:pPr>
        <w:spacing w:after="0" w:line="180" w:lineRule="exact"/>
        <w:rPr>
          <w:sz w:val="20"/>
          <w:szCs w:val="20"/>
          <w:color w:val="auto"/>
        </w:rPr>
      </w:pPr>
    </w:p>
    <w:p>
      <w:pPr>
        <w:ind w:left="1320" w:right="339"/>
        <w:spacing w:after="0" w:line="269" w:lineRule="auto"/>
        <w:rPr>
          <w:sz w:val="20"/>
          <w:szCs w:val="20"/>
          <w:color w:val="auto"/>
        </w:rPr>
      </w:pPr>
      <w:r>
        <w:rPr>
          <w:rFonts w:ascii="Times New Roman" w:cs="Times New Roman" w:eastAsia="Times New Roman" w:hAnsi="Times New Roman"/>
          <w:sz w:val="14"/>
          <w:szCs w:val="14"/>
          <w:color w:val="auto"/>
        </w:rPr>
        <w:t>We are a leading global provider of data center, colocation and interconnection solutions for customers across a variety of industry verticals. Digital Realty Trust, L.P., a Maryland limited partnership, is the entity through which Digital Realty Trust, Inc., a Maryland corporation, conducts its business of owning, acquiring, developing and operating data centers. Digital Realty Trust, Inc. operates as a REIT for U.S. federal income tax purposes.</w:t>
      </w:r>
    </w:p>
    <w:p>
      <w:pPr>
        <w:spacing w:after="0" w:line="137" w:lineRule="exact"/>
        <w:rPr>
          <w:sz w:val="20"/>
          <w:szCs w:val="20"/>
          <w:color w:val="auto"/>
        </w:rPr>
      </w:pPr>
    </w:p>
    <w:p>
      <w:pPr>
        <w:ind w:left="1320" w:right="279"/>
        <w:spacing w:after="0" w:line="263" w:lineRule="auto"/>
        <w:rPr>
          <w:sz w:val="20"/>
          <w:szCs w:val="20"/>
          <w:color w:val="auto"/>
        </w:rPr>
      </w:pPr>
      <w:r>
        <w:rPr>
          <w:rFonts w:ascii="Times New Roman" w:cs="Times New Roman" w:eastAsia="Times New Roman" w:hAnsi="Times New Roman"/>
          <w:sz w:val="14"/>
          <w:szCs w:val="14"/>
          <w:color w:val="auto"/>
        </w:rPr>
        <w:t>Digital Realty Trust, Inc. was incorporated in the state of Maryland on March 9, 2004. Digital Realty Trust, L.P. was organized in the state of Maryland on July 21, 2004. Our principal executive offices are located at 2323 Bryan Street, Suite 1800, Dallas, Texas 75201. Our telephone number is (214)</w:t>
      </w:r>
    </w:p>
    <w:p>
      <w:pPr>
        <w:spacing w:after="0" w:line="1" w:lineRule="exact"/>
        <w:rPr>
          <w:sz w:val="20"/>
          <w:szCs w:val="20"/>
          <w:color w:val="auto"/>
        </w:rPr>
      </w:pPr>
    </w:p>
    <w:p>
      <w:pPr>
        <w:ind w:left="1320" w:right="359"/>
        <w:spacing w:after="0" w:line="265" w:lineRule="auto"/>
        <w:rPr>
          <w:sz w:val="20"/>
          <w:szCs w:val="20"/>
          <w:color w:val="auto"/>
        </w:rPr>
      </w:pPr>
      <w:r>
        <w:rPr>
          <w:rFonts w:ascii="Times New Roman" w:cs="Times New Roman" w:eastAsia="Times New Roman" w:hAnsi="Times New Roman"/>
          <w:sz w:val="14"/>
          <w:szCs w:val="14"/>
          <w:color w:val="auto"/>
        </w:rPr>
        <w:t>231-1350. Our website is www.digitalrealty.com. The information found on, or otherwise accessible through, our website is not incorporated into, and does not form a part of, this prospectus or any other report or document we file with or furnish to the SEC.</w:t>
      </w:r>
    </w:p>
    <w:p>
      <w:pPr>
        <w:spacing w:after="0" w:line="8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88"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0"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Investment in any securities offered pursuant to this prospectus and the applicable prospectus supplement involves risks. Before acquiring any offered securities pursuant to this prospectus, you should carefully consider the information contained or incorporated by reference in this prospectus or in any accompanying prospectus supplement, including, without limitation, the risk factors incorporated by reference to the company’s and the operating partnership’s most recent combined Annual Report on Form 10-K and any subsequent Quarterly Reports on Form 10-Q or Current Reports on Form 8-K we file after the date of this prospectus, and the other information contained or incorporated by reference in this prospectus, as updated by our subsequent filings under the Securities Exchange Act of 1934, as amended, or the Exchange Act, and the risk factors and other information contained in the applicable prospectus supplement before acquiring any of such securities. The occurrence of any of these risks might cause you to lose all or a part of your investment in the offered securities.</w:t>
      </w:r>
    </w:p>
    <w:p>
      <w:pPr>
        <w:spacing w:after="0" w:line="9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88"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jc w:val="both"/>
        <w:ind w:left="1320" w:right="279"/>
        <w:spacing w:after="0" w:line="269" w:lineRule="auto"/>
        <w:rPr>
          <w:sz w:val="20"/>
          <w:szCs w:val="20"/>
          <w:color w:val="auto"/>
        </w:rPr>
      </w:pPr>
      <w:r>
        <w:rPr>
          <w:rFonts w:ascii="Times New Roman" w:cs="Times New Roman" w:eastAsia="Times New Roman" w:hAnsi="Times New Roman"/>
          <w:sz w:val="14"/>
          <w:szCs w:val="14"/>
          <w:color w:val="auto"/>
        </w:rPr>
        <w:t xml:space="preserve">We file annual, quarterly and special reports, proxy statements and other information with the SEC. The SEC maintains a web site that contains reports, proxy and information statements and other information about issuers, such as us, who file electronically with the SEC at www.sec.gov. The address of that website is </w:t>
      </w:r>
      <w:r>
        <w:rPr>
          <w:rFonts w:ascii="Times New Roman" w:cs="Times New Roman" w:eastAsia="Times New Roman" w:hAnsi="Times New Roman"/>
          <w:sz w:val="14"/>
          <w:szCs w:val="14"/>
          <w:i w:val="1"/>
          <w:iCs w:val="1"/>
          <w:color w:val="auto"/>
        </w:rPr>
        <w:t>http://www.sec.gov</w:t>
      </w:r>
      <w:r>
        <w:rPr>
          <w:rFonts w:ascii="Times New Roman" w:cs="Times New Roman" w:eastAsia="Times New Roman" w:hAnsi="Times New Roman"/>
          <w:sz w:val="14"/>
          <w:szCs w:val="14"/>
          <w:color w:val="auto"/>
        </w:rPr>
        <w:t>.</w:t>
      </w:r>
    </w:p>
    <w:p>
      <w:pPr>
        <w:spacing w:after="0" w:line="137" w:lineRule="exact"/>
        <w:rPr>
          <w:sz w:val="20"/>
          <w:szCs w:val="20"/>
          <w:color w:val="auto"/>
        </w:rPr>
      </w:pPr>
    </w:p>
    <w:p>
      <w:pPr>
        <w:ind w:left="1320" w:right="299"/>
        <w:spacing w:after="0" w:line="269" w:lineRule="auto"/>
        <w:rPr>
          <w:sz w:val="20"/>
          <w:szCs w:val="20"/>
          <w:color w:val="auto"/>
        </w:rPr>
      </w:pPr>
      <w:r>
        <w:rPr>
          <w:rFonts w:ascii="Times New Roman" w:cs="Times New Roman" w:eastAsia="Times New Roman" w:hAnsi="Times New Roman"/>
          <w:sz w:val="14"/>
          <w:szCs w:val="14"/>
          <w:color w:val="auto"/>
        </w:rPr>
        <w:t>In addition, we maintain a website that contains information about us at www.digitalrealty.com. The information found on, or otherwise accessible through, this website is not incorporated into, and does not form a part of, this prospectus or any other report or document we file with or furnish to the SEC.</w:t>
      </w:r>
    </w:p>
    <w:p>
      <w:pPr>
        <w:spacing w:after="0" w:line="137" w:lineRule="exact"/>
        <w:rPr>
          <w:sz w:val="20"/>
          <w:szCs w:val="20"/>
          <w:color w:val="auto"/>
        </w:rPr>
      </w:pPr>
    </w:p>
    <w:p>
      <w:pPr>
        <w:ind w:left="1320" w:right="279"/>
        <w:spacing w:after="0" w:line="259" w:lineRule="auto"/>
        <w:rPr>
          <w:sz w:val="20"/>
          <w:szCs w:val="20"/>
          <w:color w:val="auto"/>
        </w:rPr>
      </w:pPr>
      <w:r>
        <w:rPr>
          <w:rFonts w:ascii="Times New Roman" w:cs="Times New Roman" w:eastAsia="Times New Roman" w:hAnsi="Times New Roman"/>
          <w:sz w:val="14"/>
          <w:szCs w:val="14"/>
          <w:color w:val="auto"/>
        </w:rPr>
        <w:t>This prospectus and any prospectus supplement are part of a registration statement that we filed with the SEC and do not contain all of the information in the registration statement. The full registration statement may be obtained from the SEC as provided above,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88" w:right="1440"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80"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42" w:lineRule="exact"/>
        <w:rPr>
          <w:sz w:val="20"/>
          <w:szCs w:val="20"/>
          <w:color w:val="auto"/>
        </w:rPr>
      </w:pPr>
    </w:p>
    <w:p>
      <w:pPr>
        <w:ind w:left="1320" w:right="359"/>
        <w:spacing w:after="0" w:line="286" w:lineRule="auto"/>
        <w:rPr>
          <w:sz w:val="20"/>
          <w:szCs w:val="20"/>
          <w:color w:val="auto"/>
        </w:rPr>
      </w:pPr>
      <w:r>
        <w:rPr>
          <w:rFonts w:ascii="Times New Roman" w:cs="Times New Roman" w:eastAsia="Times New Roman" w:hAnsi="Times New Roman"/>
          <w:sz w:val="14"/>
          <w:szCs w:val="14"/>
          <w:color w:val="auto"/>
        </w:rPr>
        <w:t>This prospectus and any accompanying prospectus supplement incorporate by reference the documents set forth below that have previously been filed with the SEC:</w:t>
      </w:r>
    </w:p>
    <w:p>
      <w:pPr>
        <w:spacing w:after="0" w:line="51" w:lineRule="exact"/>
        <w:rPr>
          <w:sz w:val="20"/>
          <w:szCs w:val="20"/>
          <w:color w:val="auto"/>
        </w:rPr>
      </w:pPr>
    </w:p>
    <w:p>
      <w:pPr>
        <w:ind w:left="2080" w:right="419" w:hanging="337"/>
        <w:spacing w:after="0" w:line="286"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combined Annual Report on </w:t>
      </w:r>
      <w:hyperlink r:id="rId52">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2025;</w:t>
      </w:r>
    </w:p>
    <w:p>
      <w:pPr>
        <w:spacing w:after="0" w:line="50" w:lineRule="exact"/>
        <w:rPr>
          <w:rFonts w:ascii="Times New Roman" w:cs="Times New Roman" w:eastAsia="Times New Roman" w:hAnsi="Times New Roman"/>
          <w:sz w:val="14"/>
          <w:szCs w:val="14"/>
          <w:color w:val="auto"/>
        </w:rPr>
      </w:pPr>
    </w:p>
    <w:p>
      <w:pPr>
        <w:ind w:left="2080" w:right="39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Definitive Proxy Statement on </w:t>
      </w:r>
      <w:hyperlink r:id="rId53">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of Digital Realty Trust, Inc. filed with the SEC on April 25, 2025 (solely to the extent specifically incorporated by reference into the combined Annual Report on </w:t>
      </w:r>
      <w:hyperlink r:id="rId54">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of Digital Realty Trust, Inc. and Digital Realty Trust, L.P. for the year ended December 31, 2024);</w:t>
      </w:r>
    </w:p>
    <w:p>
      <w:pPr>
        <w:spacing w:after="0" w:line="62"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common stock, par value $0.01 per share, contained in Digital Realty Trust, Inc.’s Registration Statement on </w:t>
      </w:r>
      <w:hyperlink r:id="rId41">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October 28, 2004 (file number 001-32336), including any amendment or reports filed for the purpose of updating this description;</w:t>
      </w:r>
    </w:p>
    <w:p>
      <w:pPr>
        <w:spacing w:after="0" w:line="62" w:lineRule="exact"/>
        <w:rPr>
          <w:rFonts w:ascii="Times New Roman" w:cs="Times New Roman" w:eastAsia="Times New Roman" w:hAnsi="Times New Roman"/>
          <w:sz w:val="14"/>
          <w:szCs w:val="14"/>
          <w:color w:val="auto"/>
        </w:rPr>
      </w:pPr>
    </w:p>
    <w:p>
      <w:pPr>
        <w:ind w:left="2080" w:right="47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J Cumulative Redeemable Preferred Stock, par value $0.01 per share, contained in Digital Realty Trust, Inc.’s Registration Statement on </w:t>
      </w:r>
      <w:hyperlink r:id="rId55">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August 4, 2017 (file number 001-32336), including any amendments or reports filed for the purpose of updating this description;</w:t>
      </w:r>
    </w:p>
    <w:p>
      <w:pPr>
        <w:spacing w:after="0" w:line="62" w:lineRule="exact"/>
        <w:rPr>
          <w:rFonts w:ascii="Times New Roman" w:cs="Times New Roman" w:eastAsia="Times New Roman" w:hAnsi="Times New Roman"/>
          <w:sz w:val="14"/>
          <w:szCs w:val="14"/>
          <w:color w:val="auto"/>
        </w:rPr>
      </w:pPr>
    </w:p>
    <w:p>
      <w:pPr>
        <w:ind w:left="2080" w:right="41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K Cumulative Redeemable Preferred Stock, par value $0.01 per share, contained in Digital Realty Trust, Inc.’s Registration Statement on </w:t>
      </w:r>
      <w:hyperlink r:id="rId56">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March 12, 2019 (file number 001-32336), including any amendments or reports filed for the purpose of updating this description;</w:t>
      </w:r>
    </w:p>
    <w:p>
      <w:pPr>
        <w:spacing w:after="0" w:line="62" w:lineRule="exact"/>
        <w:rPr>
          <w:rFonts w:ascii="Times New Roman" w:cs="Times New Roman" w:eastAsia="Times New Roman" w:hAnsi="Times New Roman"/>
          <w:sz w:val="14"/>
          <w:szCs w:val="14"/>
          <w:color w:val="auto"/>
        </w:rPr>
      </w:pPr>
    </w:p>
    <w:p>
      <w:pPr>
        <w:ind w:left="2080" w:right="43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Digital Realty Trust, Inc.’s Series L Cumulative Redeemable Preferred Stock, par value $0.01 per share, contained in Digital Realty Trust, Inc.’s Registration Statement on </w:t>
      </w:r>
      <w:hyperlink r:id="rId57">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on October 9, 2019 (file number 001-32336), including any amendments or reports filed for the purpose of updating this description; and</w:t>
      </w:r>
    </w:p>
    <w:p>
      <w:pPr>
        <w:spacing w:after="0" w:line="62"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documents filed by us with the SEC pursuant to Sections 13(a), 13(c), 14 or 15(d) of the Exchange Act after the date of this prospectus and prior to the termination of the offering of the underlying securities (excluding any portions of such documents that are deemed “furnished” to the SEC pursuant to applicable rules and regulations).</w:t>
      </w:r>
    </w:p>
    <w:p>
      <w:pPr>
        <w:spacing w:after="0" w:line="137" w:lineRule="exact"/>
        <w:rPr>
          <w:rFonts w:ascii="Times New Roman" w:cs="Times New Roman" w:eastAsia="Times New Roman" w:hAnsi="Times New Roman"/>
          <w:sz w:val="14"/>
          <w:szCs w:val="14"/>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prospectus is delivered, on written or oral request of that person, a copy of any or all of the documents we are incorporating by reference into this prospectus, other than exhibits to those documents unless those exhibits are specifically incorporated by reference into those documents. A written request should be addressed to Investor Relations, Digital Realty Trust, Inc., 2323 Bryan Street, Suite 1800, Dallas, Texas 75201.</w:t>
      </w:r>
    </w:p>
    <w:p>
      <w:pPr>
        <w:spacing w:after="0" w:line="87" w:lineRule="exact"/>
        <w:rPr>
          <w:rFonts w:ascii="Times New Roman" w:cs="Times New Roman" w:eastAsia="Times New Roman" w:hAnsi="Times New Roman"/>
          <w:sz w:val="14"/>
          <w:szCs w:val="14"/>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88"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0"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We will disclose the intended use of proceeds from the sale of any securities under this prospectus in the applicable prospectus supplement. We will not receive any proceeds from sales of securities by selling securityholders.</w:t>
      </w:r>
    </w:p>
    <w:p>
      <w:pPr>
        <w:spacing w:after="0" w:line="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10159"/>
          </w:cols>
          <w:pgMar w:left="300" w:top="388"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COMMON STOCK</w:t>
      </w:r>
    </w:p>
    <w:p>
      <w:pPr>
        <w:spacing w:after="0" w:line="180"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The following description of Digital Realty Trust, Inc.’s common stock sets forth certain general terms and provisions of the common stock to which any prospectus supplement may relate and will apply to the common stock offered by this prospectus unless we provide otherwise in the applicable prospectus supplement. The description of Digital Realty Trust, Inc.’s common stock set forth below and in any prospectus supplement does not purport to be complete and is subject to and qualified in its entirety by reference to the applicable provisions of Digital Realty Trust, Inc.’s charter and bylaws.</w:t>
      </w:r>
    </w:p>
    <w:p>
      <w:pPr>
        <w:spacing w:after="0" w:line="138" w:lineRule="exact"/>
        <w:rPr>
          <w:sz w:val="20"/>
          <w:szCs w:val="20"/>
          <w:color w:val="auto"/>
        </w:rPr>
      </w:pPr>
    </w:p>
    <w:p>
      <w:pPr>
        <w:ind w:left="1320" w:right="479"/>
        <w:spacing w:after="0" w:line="289" w:lineRule="auto"/>
        <w:rPr>
          <w:sz w:val="20"/>
          <w:szCs w:val="20"/>
          <w:color w:val="auto"/>
        </w:rPr>
      </w:pPr>
      <w:r>
        <w:rPr>
          <w:rFonts w:ascii="Times New Roman" w:cs="Times New Roman" w:eastAsia="Times New Roman" w:hAnsi="Times New Roman"/>
          <w:sz w:val="14"/>
          <w:szCs w:val="14"/>
          <w:i w:val="1"/>
          <w:iCs w:val="1"/>
          <w:color w:val="auto"/>
        </w:rPr>
        <w:t xml:space="preserve">General. </w:t>
      </w:r>
      <w:r>
        <w:rPr>
          <w:rFonts w:ascii="Times New Roman" w:cs="Times New Roman" w:eastAsia="Times New Roman" w:hAnsi="Times New Roman"/>
          <w:sz w:val="14"/>
          <w:szCs w:val="14"/>
          <w:color w:val="auto"/>
        </w:rPr>
        <w:t>The company’s charter provides that it may issue up to 502,000,000 shares of its common stock, par value $0.01 per share, or the common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As of February 9, 2026, 343,615,444 shares of the common stock were issued and outstanding, excluding:</w:t>
      </w:r>
    </w:p>
    <w:p>
      <w:pPr>
        <w:spacing w:after="0" w:line="49" w:lineRule="exact"/>
        <w:rPr>
          <w:sz w:val="20"/>
          <w:szCs w:val="20"/>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2.9 million shares available for future issuance under our incentive award plans;</w:t>
      </w:r>
    </w:p>
    <w:p>
      <w:pPr>
        <w:spacing w:after="0" w:line="104" w:lineRule="exact"/>
        <w:rPr>
          <w:rFonts w:ascii="Times New Roman" w:cs="Times New Roman" w:eastAsia="Times New Roman" w:hAnsi="Times New Roman"/>
          <w:sz w:val="14"/>
          <w:szCs w:val="14"/>
          <w:color w:val="auto"/>
        </w:rPr>
      </w:pPr>
    </w:p>
    <w:p>
      <w:pPr>
        <w:ind w:left="2080" w:right="339" w:hanging="337"/>
        <w:spacing w:after="0" w:line="269"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1,791,403 shares issuable upon redemption of outstanding vested long-term incentive units (including class C profits interest units of our operating partnership, or class C units, and class D profits interest units of our operating partnership, or class D units) issued under our incentive award plans;</w:t>
      </w:r>
    </w:p>
    <w:p>
      <w:pPr>
        <w:spacing w:after="0" w:line="62" w:lineRule="exact"/>
        <w:rPr>
          <w:rFonts w:ascii="Times New Roman" w:cs="Times New Roman" w:eastAsia="Times New Roman" w:hAnsi="Times New Roman"/>
          <w:sz w:val="14"/>
          <w:szCs w:val="14"/>
          <w:color w:val="auto"/>
        </w:rPr>
      </w:pPr>
    </w:p>
    <w:p>
      <w:pPr>
        <w:ind w:left="2080" w:right="539" w:hanging="337"/>
        <w:spacing w:after="0" w:line="286"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427,561 shares issuable upon redemption of outstanding unvested long-term incentive units (excluding unvested class D units) issued under our incentive award plans;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4,044,535 shares issuable upon redemption of outstanding common units;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648,044 shares issuable upon vesting of restricted stock units;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182,572 shares potentially issuable upon redemption of outstanding unvested class D units;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37,128 shares potentially issuable upon redemption of unvested market performance-based restricted stock units;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465,609 shares potentially issuable upon achievement of a market or financial performance condition for unvested class D units;</w:t>
      </w:r>
    </w:p>
    <w:p>
      <w:pPr>
        <w:spacing w:after="0" w:line="104" w:lineRule="exact"/>
        <w:rPr>
          <w:rFonts w:ascii="Times New Roman" w:cs="Times New Roman" w:eastAsia="Times New Roman" w:hAnsi="Times New Roman"/>
          <w:sz w:val="14"/>
          <w:szCs w:val="14"/>
          <w:color w:val="auto"/>
        </w:rPr>
      </w:pPr>
    </w:p>
    <w:p>
      <w:pPr>
        <w:ind w:left="2080" w:right="559" w:hanging="337"/>
        <w:spacing w:after="0" w:line="286"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69,903 shares potentially issuable upon achievement of a market or financial performance condition for unvested performance-based restricted stock units; and</w:t>
      </w:r>
    </w:p>
    <w:p>
      <w:pPr>
        <w:spacing w:after="0" w:line="50" w:lineRule="exact"/>
        <w:rPr>
          <w:rFonts w:ascii="Times New Roman" w:cs="Times New Roman" w:eastAsia="Times New Roman" w:hAnsi="Times New Roman"/>
          <w:sz w:val="14"/>
          <w:szCs w:val="14"/>
          <w:color w:val="auto"/>
        </w:rPr>
      </w:pPr>
    </w:p>
    <w:p>
      <w:pPr>
        <w:jc w:val="both"/>
        <w:ind w:left="2080" w:right="199" w:hanging="337"/>
        <w:spacing w:after="0" w:line="269" w:lineRule="auto"/>
        <w:tabs>
          <w:tab w:leader="none" w:pos="20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maximum of 3,401,680, 3,663,324, and 5,315,484 shares of common stock potentially issuable upon conversion of the company’s series J preferred stock, series K preferred stock and series L preferred stock respectively, in each case upon the occurrence of specified change in control transactions as described in “Description of Preferred Stock” below.</w:t>
      </w:r>
    </w:p>
    <w:p>
      <w:pPr>
        <w:spacing w:after="0" w:line="137"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All outstanding shares of the common stock are duly authorized, fully paid and nonassessable. Subject to the preferential rights of any other class or series of stock and to the provisions of the company’s charter regarding the restrictions on transfer of stock, holders of shares of the common stock are entitled to receive dividends on such stock if, as and when authorized by the company’s board of directors out of assets legally available therefor and declared by the company and to share ratably in the assets of the company legally available for distribution to the company’s stockholders in the event of the company’s liquidation, dissolution or winding up after payment or establishment of reserves for all known debts and liabilities of the company.</w:t>
      </w:r>
    </w:p>
    <w:p>
      <w:pPr>
        <w:spacing w:after="0" w:line="142" w:lineRule="exact"/>
        <w:rPr>
          <w:sz w:val="20"/>
          <w:szCs w:val="20"/>
          <w:color w:val="auto"/>
        </w:rPr>
      </w:pPr>
    </w:p>
    <w:p>
      <w:pPr>
        <w:ind w:left="1320" w:right="279"/>
        <w:spacing w:after="0" w:line="259" w:lineRule="auto"/>
        <w:rPr>
          <w:sz w:val="20"/>
          <w:szCs w:val="20"/>
          <w:color w:val="auto"/>
        </w:rPr>
      </w:pPr>
      <w:r>
        <w:rPr>
          <w:rFonts w:ascii="Times New Roman" w:cs="Times New Roman" w:eastAsia="Times New Roman" w:hAnsi="Times New Roman"/>
          <w:sz w:val="14"/>
          <w:szCs w:val="14"/>
          <w:color w:val="auto"/>
        </w:rPr>
        <w:t>Subject to the provisions of the company’s charter regarding the restrictions on transfer of stock and except as may be otherwise specified therein with respect to any class or series of common stock, each outstanding share of the common stock entitles the holder to one vote on all matters submitted to a vote of stockholders, including the election of directors and, except as provided with respect to any other class or series of stock, the holders of such shares will possess the exclusive voting power. There is no cumulative voting in the election of the company’s board of directors, which means that the holders of a majority of the outstanding shares of the common stock can elect all of the directors then standing for election and the holders of the remaining shares will not be able to elect</w:t>
      </w:r>
    </w:p>
    <w:p>
      <w:pPr>
        <w:spacing w:after="0" w:line="9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88"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69" w:lineRule="auto"/>
        <w:rPr>
          <w:sz w:val="20"/>
          <w:szCs w:val="20"/>
          <w:color w:val="auto"/>
        </w:rPr>
      </w:pPr>
      <w:r>
        <w:rPr>
          <w:rFonts w:ascii="Times New Roman" w:cs="Times New Roman" w:eastAsia="Times New Roman" w:hAnsi="Times New Roman"/>
          <w:sz w:val="14"/>
          <w:szCs w:val="14"/>
          <w:color w:val="auto"/>
        </w:rPr>
        <w:t>any directors. Directors are elected by a majority of all the votes cast at a meeting of stockholders duly called and at which a quorum is present if the election is uncontested. Directors are elected by a plurality of the votes cast at a meeting of stockholders duly called and at which a quorum is present if the election is contested.</w:t>
      </w:r>
    </w:p>
    <w:p>
      <w:pPr>
        <w:spacing w:after="0" w:line="137"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Holders of shares of the common stock have no preference, conversion, exchange, sinking fund or redemption rights, have no preemptive rights to subscribe for any securities of the company and generally have no appraisal rights unless the company’s board of directors determines that appraisal rights apply, with respect to all or any classes or series of stock, to one or more transactions occurring after the date of such determination in connection with which stockholders would otherwise be entitled to exercise appraisal rights. Subject to the provisions of the company’s charter regarding the restrictions on transfer of stock, shares of the common stock will have equal dividend, liquidation and other rights.</w:t>
      </w:r>
    </w:p>
    <w:p>
      <w:pPr>
        <w:spacing w:after="0" w:line="142"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Under the Maryland General Corporation Law, or MGCL, a Maryland corporation generally cannot dissolve, amend its charter, merge, convert, sell all or substantially all of its assets, engage in a share exchange or engage in similar transactions outside the ordinary course of business unless the action is approved by the affirmative vote of stockholders entitled to cast at least two-thirds of the votes entitled to be cast on the matter unless a lesser percentage (but not less than a majority of all of the votes entitled to be cast on the matter) is set forth in the corporation’s charter. Except for certain charter amendments relating to the removal of directors and the vote required for certain amendments, the company’s charter provides that these actions may be taken if declared advisable by a majority of the company’s board of directors and approved by the vote of stockholders entitled to cast a majority of the votes entitled to be cast on the matter. However, Maryland law permits a corporation to transfer all or substantially all of its assets without the approval of the stockholders of the corporation to one or more persons if all of the equity interests of the person or persons are owned, directly or indirectly, by the corporation. In addition, operating assets may be held by a corporation’s subsidiaries, as in the company’s situation, and these subsidiaries may be able to transfer all or substantially all of such assets without a vote of the parent corporation’s stockholders.</w:t>
      </w:r>
    </w:p>
    <w:p>
      <w:pPr>
        <w:spacing w:after="0" w:line="148" w:lineRule="exact"/>
        <w:rPr>
          <w:sz w:val="20"/>
          <w:szCs w:val="20"/>
          <w:color w:val="auto"/>
        </w:rPr>
      </w:pPr>
    </w:p>
    <w:p>
      <w:pPr>
        <w:jc w:val="both"/>
        <w:ind w:left="1320" w:right="219"/>
        <w:spacing w:after="0" w:line="269" w:lineRule="auto"/>
        <w:rPr>
          <w:sz w:val="20"/>
          <w:szCs w:val="20"/>
          <w:color w:val="auto"/>
        </w:rPr>
      </w:pPr>
      <w:r>
        <w:rPr>
          <w:rFonts w:ascii="Times New Roman" w:cs="Times New Roman" w:eastAsia="Times New Roman" w:hAnsi="Times New Roman"/>
          <w:sz w:val="14"/>
          <w:szCs w:val="14"/>
          <w:color w:val="auto"/>
        </w:rPr>
        <w:t>The company’s charter authorizes its board of directors to reclassify any unissued shares of the common stock into other classes or series of stock and to establish the number of shares in each class or series and to set the preferences, conversion and other rights, voting powers, restrictions, limitations as to dividends or other distributions, qualifications or terms or conditions of redemption for each such class or series.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Power to Increase Authorized Stock and Issue Additional Shares of the Common Stock</w:t>
      </w:r>
    </w:p>
    <w:p>
      <w:pPr>
        <w:spacing w:after="0" w:line="95" w:lineRule="exact"/>
        <w:rPr>
          <w:sz w:val="20"/>
          <w:szCs w:val="20"/>
          <w:color w:val="auto"/>
        </w:rPr>
      </w:pPr>
    </w:p>
    <w:p>
      <w:pPr>
        <w:ind w:left="1320" w:right="239"/>
        <w:spacing w:after="0" w:line="256" w:lineRule="auto"/>
        <w:rPr>
          <w:sz w:val="20"/>
          <w:szCs w:val="20"/>
          <w:color w:val="auto"/>
        </w:rPr>
      </w:pPr>
      <w:r>
        <w:rPr>
          <w:rFonts w:ascii="Times New Roman" w:cs="Times New Roman" w:eastAsia="Times New Roman" w:hAnsi="Times New Roman"/>
          <w:sz w:val="14"/>
          <w:szCs w:val="14"/>
          <w:color w:val="auto"/>
        </w:rPr>
        <w:t>The company’s board of directors has the power to amend the company’s charter from time to time without stockholder approval to increase or decrease the number of authorized shares of common stock, to issue additional authorized but unissued shares of the common stock and to classify or reclassify unissued shares of the common stock into other classes or series of stock and thereafter to cause the company to issue such classified or reclassified shares of stock. The company believes these powers provide it with increased flexibility in structuring possible future financings and acquisitions and in meeting other needs which might arise.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as well as the common stock,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us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9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88"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Ownership and Transfer</w:t>
      </w:r>
    </w:p>
    <w:p>
      <w:pPr>
        <w:spacing w:after="0" w:line="95" w:lineRule="exact"/>
        <w:rPr>
          <w:sz w:val="20"/>
          <w:szCs w:val="20"/>
          <w:color w:val="auto"/>
        </w:rPr>
      </w:pPr>
    </w:p>
    <w:p>
      <w:pPr>
        <w:ind w:left="1320" w:right="199"/>
        <w:spacing w:after="0" w:line="286" w:lineRule="auto"/>
        <w:rPr>
          <w:sz w:val="20"/>
          <w:szCs w:val="20"/>
          <w:color w:val="auto"/>
        </w:rPr>
      </w:pPr>
      <w:r>
        <w:rPr>
          <w:rFonts w:ascii="Times New Roman" w:cs="Times New Roman" w:eastAsia="Times New Roman" w:hAnsi="Times New Roman"/>
          <w:sz w:val="14"/>
          <w:szCs w:val="14"/>
          <w:color w:val="auto"/>
        </w:rPr>
        <w:t>To assist us in complying with certain U.S. federal income tax requirements applicable to REITs, the company has adopted certain restrictions relating to the ownership and transfer of the common stock. See “Restrictions on Ownership and Transfer.”</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transfer agent and registrar for the common stock is Equiniti Trust Company, LLC.</w:t>
      </w:r>
    </w:p>
    <w:p>
      <w:pPr>
        <w:spacing w:after="0" w:line="125"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88"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DESCRIPTION OF PREFERRED STOCK</w:t>
      </w:r>
    </w:p>
    <w:p>
      <w:pPr>
        <w:spacing w:after="0" w:line="180"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The specific terms of a particular class or series of preferred stock will be described in the prospectus supplement relating to that class or series, including a prospectus supplement providing that preferred stock may be issuable upon the exercise of warrants the company issues. The description of preferred stock set forth below and the description of the terms of a particular class or series of preferred stock set forth in the applicable prospectus supplement do not purport to be complete and are qualified in their entirety by reference to the articles supplementary relating to that class or series.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5"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company’s charter provides that it may issue up to 110 million shares of preferred stock, $0.01 par value per share, or preferred stock. The company’s charter authorizes its board of directors to amend its charter from time to time without stockholder approval to increase or decrease the number of authorized shares of preferred stock. As of February 9, 2026, 8,000,000 shares of the company’s series J preferred stock, 8,400,000 shares of the company’s series K preferred stock and 13,800,000 shares of the company’s series L preferred stock were issued and outstanding. No other shares of the company’s preferred stock are currently outstanding.</w:t>
      </w:r>
    </w:p>
    <w:p>
      <w:pPr>
        <w:spacing w:after="0" w:line="142"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The company’s charter authorizes its board of directors to classify any unissued shares of preferred stock and to reclassify any previously classified but unissued shares of any series into other classes or series of stock. Prior to the issuance of shares of each class or series, the company’s board of directors is required by the MGCL and the company’s charter to set, subject to the provisions of the company’s charter regarding the restrictions on transfers of stock, the terms, preferences, conversion or other rights, voting powers, restrictions, limitations as to dividends or other distributions, qualifications and terms or conditions of redemption for each such class or series. Thus, the company’s board of directors could authorize the issuance of shares of preferred stock with terms and conditions which could have the effect of delaying, deferring or preventing a transaction or a change of control of the company that might involve a premium price for holders of the common stock or otherwise be in their best interest.</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preferences and other terms of the preferred stock of each class or series will be fixed by the articles supplementary relating to such class or series.</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 prospectus supplement, relating to each class or series, will describe the terms of the preferred stock, including, where applicable, the following:</w:t>
      </w:r>
    </w:p>
    <w:p>
      <w:pPr>
        <w:spacing w:after="0" w:line="90" w:lineRule="exact"/>
        <w:rPr>
          <w:sz w:val="20"/>
          <w:szCs w:val="20"/>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 of such preferred stock;</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such preferred stock offered, the liquidation preference per share and the offering price of such preferred stock;</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rate(s), period(s), and/or payment date(s) or method(s) of calculation thereof applicable to such preferred stock;</w:t>
      </w:r>
    </w:p>
    <w:p>
      <w:pPr>
        <w:spacing w:after="0" w:line="104" w:lineRule="exact"/>
        <w:rPr>
          <w:rFonts w:ascii="Times New Roman" w:cs="Times New Roman" w:eastAsia="Times New Roman" w:hAnsi="Times New Roman"/>
          <w:sz w:val="14"/>
          <w:szCs w:val="14"/>
          <w:color w:val="auto"/>
        </w:rPr>
      </w:pPr>
    </w:p>
    <w:p>
      <w:pPr>
        <w:ind w:left="2080" w:right="779" w:hanging="337"/>
        <w:spacing w:after="0" w:line="286" w:lineRule="auto"/>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such preferred stock is cumulative or not and, if cumulative, the date from which dividends on such preferred stock shall accumulate;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a sinking fund, if any, for such preferred stock;</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 for redemption, if applicable, of such preferred stock;</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listing of such preferred stock on any securities exchange;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104"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and conditions, if applicable, upon which such preferred stock will be converted into the common stock, including the conversion price (or manner of calculation thereof);</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additional material U.S. federal income tax consequences, if any, applicable to an investment in such preferred stock;</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88"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actual and constructive ownership and restrictions on transfer;</w:t>
      </w:r>
    </w:p>
    <w:p>
      <w:pPr>
        <w:spacing w:after="0" w:line="22" w:lineRule="exact"/>
        <w:rPr>
          <w:rFonts w:ascii="Times New Roman" w:cs="Times New Roman" w:eastAsia="Times New Roman" w:hAnsi="Times New Roman"/>
          <w:sz w:val="14"/>
          <w:szCs w:val="14"/>
          <w:color w:val="auto"/>
        </w:rPr>
      </w:pPr>
    </w:p>
    <w:p>
      <w:pPr>
        <w:ind w:left="2080" w:right="299" w:hanging="337"/>
        <w:spacing w:after="0" w:line="265" w:lineRule="auto"/>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such preferred stock as to dividend rights and rights upon liquidation, dissolution or winding up of the affairs of the company;</w:t>
      </w:r>
    </w:p>
    <w:p>
      <w:pPr>
        <w:spacing w:after="0" w:line="64"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such class or series of preferred stock as to dividend rights and rights upon liquidation, dissolution or winding up of the affairs of the company;</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voting rights of such preferred stock;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limitations or restrictions of such preferred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Rank</w:t>
      </w:r>
    </w:p>
    <w:p>
      <w:pPr>
        <w:spacing w:after="0" w:line="95"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Unless otherwise specified in the applicable prospectus supplement, the preferred stock will, with respect to dividend rights and rights upon liquidation, dissolution or winding up of the company, rank: (i) senior to all classes or series of the common stock, and to any other class or series of the company’s stock expressly designated as ranking junior to the preferred stock; (ii) on parity with any class or series of the company’s stock expressly designated as ranking on parity with the preferred stock; and (iii) junior to any other class or series of the company’s stock expressly designated as ranking senior to the preferred stock.</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Conversion Rights</w:t>
      </w:r>
    </w:p>
    <w:p>
      <w:pPr>
        <w:spacing w:after="0" w:line="95"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The terms and conditions, if any, upon which any shares of any class or series of preferred stock are convertible into common stock will be described in the applicable prospectus supplement relating thereto. Such terms will include the number of shares of the common stock into which the shares of preferred stock are convertible, the conversion price (or manner of calculation thereof), the conversion period, provisions as to whether conversion will be at the option of the holders of such class or series of preferred stock, the events requiring an adjustment of the conversion price and provisions affecting conversion in the event of the redemption of such class or series of preferred stock.</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Power to Increase or Decrease Authorized Stock and Issue Additional Shares of Preferred Stock</w:t>
      </w:r>
    </w:p>
    <w:p>
      <w:pPr>
        <w:spacing w:after="0" w:line="95"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The company’s board of directors has the power to amend the company’s charter from time to time without stockholder approval to increase or decrease the number of authorized shares of preferred stock, to issue additional authorized but unissued shares of the company’s preferred stock and to classify or reclassify unissued shares of the company’s preferred stock into other classes or series of stock and thereafter to cause us to issue such classified or reclassified shares of stock. Subject to the limited rights of holders of the company’s series J preferred stock, series K preferred stock and series L preferred stock and each other parity class or series of preferred stock, voting together as a single class, to approve certain issuances of senior classes or series of stock, the additional classes or series will be available for issuance without further action by the company’s stockholders, unless stockholder consent is required by applicable law or the rules of any stock exchange or automated quotation system on which the company’s securities may be listed or traded. Although the company’s board of directors does not intend to do so, it could authorize the company to issue a class or series that could, depending upon the terms of the particular class or series, delay, defer or prevent a transaction or a change of control of the company that might involve a premium price for the company’s stockholders or otherwise be in their best interest.</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Restrictions on Ownership and Transfer</w:t>
      </w:r>
    </w:p>
    <w:p>
      <w:pPr>
        <w:spacing w:after="0" w:line="95" w:lineRule="exact"/>
        <w:rPr>
          <w:sz w:val="20"/>
          <w:szCs w:val="20"/>
          <w:color w:val="auto"/>
        </w:rPr>
      </w:pPr>
    </w:p>
    <w:p>
      <w:pPr>
        <w:ind w:left="1320" w:right="219"/>
        <w:spacing w:after="0" w:line="269" w:lineRule="auto"/>
        <w:rPr>
          <w:sz w:val="20"/>
          <w:szCs w:val="20"/>
          <w:color w:val="auto"/>
        </w:rPr>
      </w:pPr>
      <w:r>
        <w:rPr>
          <w:rFonts w:ascii="Times New Roman" w:cs="Times New Roman" w:eastAsia="Times New Roman" w:hAnsi="Times New Roman"/>
          <w:sz w:val="14"/>
          <w:szCs w:val="14"/>
          <w:color w:val="auto"/>
        </w:rPr>
        <w:t>To assist the company in complying with certain U.S. federal income tax requirements applicable to REITs, the company has adopted certain restrictions relating to the ownership and transfer of the company’s series J preferred stock, series K preferred stock and series L preferred stock. The company expects to adopt similar</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88"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69" w:lineRule="auto"/>
        <w:rPr>
          <w:sz w:val="20"/>
          <w:szCs w:val="20"/>
          <w:color w:val="auto"/>
        </w:rPr>
      </w:pPr>
      <w:r>
        <w:rPr>
          <w:rFonts w:ascii="Times New Roman" w:cs="Times New Roman" w:eastAsia="Times New Roman" w:hAnsi="Times New Roman"/>
          <w:sz w:val="14"/>
          <w:szCs w:val="14"/>
          <w:color w:val="auto"/>
        </w:rPr>
        <w:t>restrictions with respect to any class or series offered pursuant to this prospectus under the articles supplementary for each such class or series. The applicable prospectus supplement will specify any additional ownership limitation relating to such class or series. See “Restrictions on Ownership and Transfer.”</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5.250% Series J Cumulative Redeemable Preferred Stock</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5"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J preferred stock as a series of the company’s preferred stock, designated as the 5.250% Series J Cumulative Redeemable Preferred Stock. The series J preferred stock is validly issued, fully paid and nonassessable.</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series J preferred stock is currently listed on the NYSE as “DLR Pr J”.</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series J preferred stock ranks, with respect to dividend rights and rights upon the company’s liquidation, dissolution or winding-up:</w:t>
      </w:r>
    </w:p>
    <w:p>
      <w:pPr>
        <w:spacing w:after="0" w:line="104" w:lineRule="exact"/>
        <w:rPr>
          <w:sz w:val="20"/>
          <w:szCs w:val="20"/>
          <w:color w:val="auto"/>
        </w:rPr>
      </w:pPr>
    </w:p>
    <w:p>
      <w:pPr>
        <w:ind w:left="2080" w:right="299" w:hanging="337"/>
        <w:spacing w:after="0" w:line="286" w:lineRule="auto"/>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the company’s stock expressly designated as ranking junior to the series J preferred stock;</w:t>
      </w:r>
    </w:p>
    <w:p>
      <w:pPr>
        <w:spacing w:after="0" w:line="50" w:lineRule="exact"/>
        <w:rPr>
          <w:rFonts w:ascii="Times New Roman" w:cs="Times New Roman" w:eastAsia="Times New Roman" w:hAnsi="Times New Roman"/>
          <w:sz w:val="14"/>
          <w:szCs w:val="14"/>
          <w:color w:val="auto"/>
        </w:rPr>
      </w:pPr>
    </w:p>
    <w:p>
      <w:pPr>
        <w:ind w:left="2080" w:right="659" w:hanging="337"/>
        <w:spacing w:after="0" w:line="286" w:lineRule="auto"/>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the company’s stock expressly designated as ranking on parity with the series J preferred stock, including the company’s series K preferred stock and series L preferred stock; and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the company’s stock expressly designated as ranking senior to the series J preferred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Holders of series J preferred stock are entitled to receive cumulative cash dividends on the series J preferred stock from and including the date of original issue, payable quarterly in arrears on or about the last calendar day of March, June, September and December of each year, at the rate of 5.250% per annum of the $25.00 liquidation preference per share (equivalent to an annual amount of $1.3125 per share). Dividends on the series J preferred stock will accrue whether or not the company has earnings, whether or not there are funds legally available for the payment of such dividends and whether or not such dividends are authorized or declared.</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5"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J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J preferred stock as to liquidation rights. The rights of holders of series J preferred stock to receive their liquidation preference will be subject to the proportionate rights of any other class or series of stock ranking on parity with the series J preferred stock as to liquidation.</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5" w:lineRule="exact"/>
        <w:rPr>
          <w:sz w:val="20"/>
          <w:szCs w:val="20"/>
          <w:color w:val="auto"/>
        </w:rPr>
      </w:pPr>
    </w:p>
    <w:p>
      <w:pPr>
        <w:ind w:left="1320" w:right="219"/>
        <w:spacing w:after="0" w:line="269" w:lineRule="auto"/>
        <w:rPr>
          <w:sz w:val="20"/>
          <w:szCs w:val="20"/>
          <w:color w:val="auto"/>
        </w:rPr>
      </w:pPr>
      <w:r>
        <w:rPr>
          <w:rFonts w:ascii="Times New Roman" w:cs="Times New Roman" w:eastAsia="Times New Roman" w:hAnsi="Times New Roman"/>
          <w:sz w:val="14"/>
          <w:szCs w:val="14"/>
          <w:color w:val="auto"/>
        </w:rPr>
        <w:t>The series J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J preferred stock for all past dividend periods have been, or contemporaneously are, paid or an amount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88"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499"/>
        <w:spacing w:after="0" w:line="269" w:lineRule="auto"/>
        <w:rPr>
          <w:sz w:val="20"/>
          <w:szCs w:val="20"/>
          <w:color w:val="auto"/>
        </w:rPr>
      </w:pPr>
      <w:r>
        <w:rPr>
          <w:rFonts w:ascii="Times New Roman" w:cs="Times New Roman" w:eastAsia="Times New Roman" w:hAnsi="Times New Roman"/>
          <w:sz w:val="14"/>
          <w:szCs w:val="14"/>
          <w:color w:val="auto"/>
        </w:rPr>
        <w:t>in cash sufficient for the payment thereof is set apart, no shares of series J preferred stock may be redeemed unless all outstanding shares of series J preferred stock are simultaneously redeemed; provided, that the foregoing restriction does not prevent the company from taking action necessary to preserve the company’s status as a REIT. Any partial redemption will be on a pro rata basis.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5"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J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J preferred stock (whether its optional redemption right or its special optional redemption right), the holders of series J preferred stock will not have the conversion right described below.</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J preferred stock, the following have occurred and are continuing:</w:t>
      </w:r>
    </w:p>
    <w:p>
      <w:pPr>
        <w:spacing w:after="0" w:line="104" w:lineRule="exact"/>
        <w:rPr>
          <w:sz w:val="20"/>
          <w:szCs w:val="20"/>
          <w:color w:val="auto"/>
        </w:rPr>
      </w:pPr>
    </w:p>
    <w:p>
      <w:pPr>
        <w:ind w:left="2080" w:right="219" w:hanging="337"/>
        <w:spacing w:after="0" w:line="259" w:lineRule="auto"/>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70" w:lineRule="exact"/>
        <w:rPr>
          <w:rFonts w:ascii="Times New Roman" w:cs="Times New Roman" w:eastAsia="Times New Roman" w:hAnsi="Times New Roman"/>
          <w:sz w:val="14"/>
          <w:szCs w:val="14"/>
          <w:color w:val="auto"/>
        </w:rPr>
      </w:pPr>
    </w:p>
    <w:p>
      <w:pPr>
        <w:ind w:left="2080" w:right="259" w:hanging="337"/>
        <w:spacing w:after="0" w:line="269" w:lineRule="auto"/>
        <w:tabs>
          <w:tab w:leader="none" w:pos="20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5" w:lineRule="exact"/>
        <w:rPr>
          <w:sz w:val="20"/>
          <w:szCs w:val="20"/>
          <w:color w:val="auto"/>
        </w:rPr>
      </w:pPr>
    </w:p>
    <w:p>
      <w:pPr>
        <w:ind w:left="1320" w:right="279"/>
        <w:spacing w:after="0" w:line="264" w:lineRule="auto"/>
        <w:rPr>
          <w:sz w:val="20"/>
          <w:szCs w:val="20"/>
          <w:color w:val="auto"/>
        </w:rPr>
      </w:pPr>
      <w:r>
        <w:rPr>
          <w:rFonts w:ascii="Times New Roman" w:cs="Times New Roman" w:eastAsia="Times New Roman" w:hAnsi="Times New Roman"/>
          <w:sz w:val="14"/>
          <w:szCs w:val="14"/>
          <w:color w:val="auto"/>
        </w:rPr>
        <w:t>The series J preferred stock has no stated maturity date and the company is not required to redeem the series J preferred stock at any time. Accordingly, the series J preferred stock will remain outstanding indefinitely, unless the company decides, at its option, to exercise its redemption right or, under circumstances where the holders of the series J preferred stock have a conversion right, such holders decide to convert the series J preferred stock into common stock. The series J preferred stock is not subject to any sinking fund.</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5"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Holders of series J preferred stock generally have no voting rights. However, if the company is in arrears on dividends on the series J preferred stock for six or more quarterly periods, whether or not consecutive, holders of the series J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company’s next annual meeting of stockholders and each subsequent annual meeting of stockholders for the election of two additional directors to serve on the company’s board of directors until all unpaid dividends with respect to the series J preferred stock and any other class or series of parity preferred stock have been paid or declared and a sum sufficient for the payment thereof set aside for payment. In addition, the company may not make certain material and adverse changes to the terms of the series J preferred stock without the affirmative vote of the holders of at least two-thirds of the outstanding shares of series J preferred stock and all other shares of any class or series ranking on parity with the series J preferred stock that are entitled to similar voting rights (voting together as a single class).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88" w:right="1440"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5"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J preferred stock will have the right (unless, prior to the Change of Control Conversion Date, the company has provided or provides notice of its election to redeem the series J preferred stock) to convert some or all of the series J preferred stock held by such holder on the date the series J preferred stock is to be converted, which we refer to as the Change of Control Conversion Date, into a number of shares of common stock per share of series J preferred stock to be converted equal to the lesser of:</w:t>
      </w:r>
    </w:p>
    <w:p>
      <w:pPr>
        <w:spacing w:after="0" w:line="65" w:lineRule="exact"/>
        <w:rPr>
          <w:sz w:val="20"/>
          <w:szCs w:val="20"/>
          <w:color w:val="auto"/>
        </w:rPr>
      </w:pPr>
    </w:p>
    <w:p>
      <w:pPr>
        <w:ind w:left="2080" w:right="239" w:hanging="337"/>
        <w:spacing w:after="0" w:line="261" w:lineRule="auto"/>
        <w:tabs>
          <w:tab w:leader="none" w:pos="2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J preferred stock dividend payment and prior to the corresponding series J preferred stock dividend payment date, in which case no additional amount for such accrued and unpaid dividends will be included in this sum) by (ii) the Common Stock Price (as defined below); and</w:t>
      </w:r>
    </w:p>
    <w:p>
      <w:pPr>
        <w:spacing w:after="0" w:line="68"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0.42521 (i.e., the Share Cap), subject to certain adjustments;</w:t>
      </w:r>
    </w:p>
    <w:p>
      <w:pPr>
        <w:spacing w:after="0" w:line="178"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J preferred stock.</w:t>
      </w:r>
    </w:p>
    <w:p>
      <w:pPr>
        <w:spacing w:after="0" w:line="125"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 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47" w:lineRule="exact"/>
        <w:rPr>
          <w:sz w:val="20"/>
          <w:szCs w:val="20"/>
          <w:color w:val="auto"/>
        </w:rPr>
      </w:pPr>
    </w:p>
    <w:p>
      <w:pPr>
        <w:ind w:left="1320" w:right="279"/>
        <w:spacing w:after="0" w:line="261"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J preferred stock will not have any right to convert the series J preferred stock into shares of the common stock in connection with the Change of Control and any shares of series J preferred stock selected for redemption that have been tendered for conversion will be redeemed on the related date of redemption instead of converted on the Change of Control Conversion Date.</w:t>
      </w:r>
    </w:p>
    <w:p>
      <w:pPr>
        <w:spacing w:after="0" w:line="142" w:lineRule="exact"/>
        <w:rPr>
          <w:sz w:val="20"/>
          <w:szCs w:val="20"/>
          <w:color w:val="auto"/>
        </w:rPr>
      </w:pPr>
    </w:p>
    <w:p>
      <w:pPr>
        <w:ind w:left="1320" w:right="539"/>
        <w:spacing w:after="0" w:line="286"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J preferred stock is not convertible into or exchangeable for any other securities or property.</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transfer agent and registrar for the series J preferred stock is Equiniti Trust Company, LLC.</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5.850% Series K Cumulative Redeemable Preferred Stock</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5" w:lineRule="exact"/>
        <w:rPr>
          <w:sz w:val="20"/>
          <w:szCs w:val="20"/>
          <w:color w:val="auto"/>
        </w:rPr>
      </w:pPr>
    </w:p>
    <w:p>
      <w:pPr>
        <w:ind w:left="1320" w:right="319"/>
        <w:spacing w:after="0" w:line="286"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88" w:right="1440"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19"/>
        <w:spacing w:after="0" w:line="286" w:lineRule="auto"/>
        <w:rPr>
          <w:sz w:val="20"/>
          <w:szCs w:val="20"/>
          <w:color w:val="auto"/>
        </w:rPr>
      </w:pPr>
      <w:r>
        <w:rPr>
          <w:rFonts w:ascii="Times New Roman" w:cs="Times New Roman" w:eastAsia="Times New Roman" w:hAnsi="Times New Roman"/>
          <w:sz w:val="14"/>
          <w:szCs w:val="14"/>
          <w:color w:val="auto"/>
        </w:rPr>
        <w:t>registration statement of which this prospectus is a part, creating the series K preferred stock as a series of DLR’s preferred stock, designated as the 5.850% Series K Cumulative Redeemable Preferred Stock. The series K preferred stock is validly issued, fully paid and nonassessable.</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series K preferred stock is currently listed on the NYSE as “DLR Pr 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series K preferred stock ranks, with respect to dividend rights and rights upon the company’s liquidation, dissolution or winding-up:</w:t>
      </w:r>
    </w:p>
    <w:p>
      <w:pPr>
        <w:spacing w:after="0" w:line="104" w:lineRule="exact"/>
        <w:rPr>
          <w:sz w:val="20"/>
          <w:szCs w:val="20"/>
          <w:color w:val="auto"/>
        </w:rPr>
      </w:pPr>
    </w:p>
    <w:p>
      <w:pPr>
        <w:ind w:left="2080" w:right="439" w:hanging="337"/>
        <w:spacing w:after="0" w:line="286"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stock expressly designated as ranking junior to the series K preferred stock;</w:t>
      </w:r>
    </w:p>
    <w:p>
      <w:pPr>
        <w:spacing w:after="0" w:line="50" w:lineRule="exact"/>
        <w:rPr>
          <w:rFonts w:ascii="Times New Roman" w:cs="Times New Roman" w:eastAsia="Times New Roman" w:hAnsi="Times New Roman"/>
          <w:sz w:val="14"/>
          <w:szCs w:val="14"/>
          <w:color w:val="auto"/>
        </w:rPr>
      </w:pPr>
    </w:p>
    <w:p>
      <w:pPr>
        <w:ind w:left="2080" w:right="679" w:hanging="337"/>
        <w:spacing w:after="0" w:line="286" w:lineRule="auto"/>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stock expressly designated as ranking on parity with the series K preferred stock, including the company’s series J preferred stock and series L preferred stock; and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stock expressly designated as ranking senior to the series K preferred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Holders of series K preferred stock are entitled to receive cumulative cash dividends on the series K preferred stock from and including the date of original issue, payable quarterly in arrears on or about the last calendar day of March, June, September and December of each year, at the rate of 5.850% per annum of the $25.00 liquidation preference per share (equivalent to an annual amount of $1.4625 per share). Dividends on the series K preferred stock will accrue whether or not the company has earnings, whether or not there are funds legally available for the payment of such dividends and whether or not such dividends are authorized or declared.</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5"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K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K preferred stock as to liquidation rights. The rights of holders of series K preferred stock to receive their liquidation preference will be subject to the proportionate rights of any other class or series of stock ranking on parity with the series K preferred stock as to liquidation.</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5"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The series K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K preferred stock for all past dividend periods have been, or contemporaneously are, paid or an amount in cash sufficient for the payment thereof is set apart, no shares of series K preferred stock may be redeemed unless all outstanding shares of series K preferred stock are simultaneously redeemed; provided, that the foregoing restriction does not prevent the company from taking action necessary to preserve its status as a REIT. Any partial redemption will be on a pro rata basis.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5"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K preferred stock, in whole or in part within 120 days after the first date on which such Change of Control occurred, by paying $25.00 per share, plus any accrued and unpaid dividends to, but not including, the date of</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88" w:right="1440"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339"/>
        <w:spacing w:after="0" w:line="269" w:lineRule="auto"/>
        <w:rPr>
          <w:sz w:val="20"/>
          <w:szCs w:val="20"/>
          <w:color w:val="auto"/>
        </w:rPr>
      </w:pPr>
      <w:r>
        <w:rPr>
          <w:rFonts w:ascii="Times New Roman" w:cs="Times New Roman" w:eastAsia="Times New Roman" w:hAnsi="Times New Roman"/>
          <w:sz w:val="14"/>
          <w:szCs w:val="14"/>
          <w:color w:val="auto"/>
        </w:rPr>
        <w:t>redemption. If, prior to the Change of Control Conversion Date (as defined below), the company exercises any of its redemption rights relating to the series K preferred stock (whether its optional redemption right or its special optional redemption right), the holders of series K preferred stock will not have the conversion right described below.</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K preferred stock, the following have occurred and are continuing:</w:t>
      </w:r>
    </w:p>
    <w:p>
      <w:pPr>
        <w:spacing w:after="0" w:line="104" w:lineRule="exact"/>
        <w:rPr>
          <w:sz w:val="20"/>
          <w:szCs w:val="20"/>
          <w:color w:val="auto"/>
        </w:rPr>
      </w:pPr>
    </w:p>
    <w:p>
      <w:pPr>
        <w:ind w:left="2080" w:right="219" w:hanging="337"/>
        <w:spacing w:after="0" w:line="259" w:lineRule="auto"/>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 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70" w:lineRule="exact"/>
        <w:rPr>
          <w:rFonts w:ascii="Times New Roman" w:cs="Times New Roman" w:eastAsia="Times New Roman" w:hAnsi="Times New Roman"/>
          <w:sz w:val="14"/>
          <w:szCs w:val="14"/>
          <w:color w:val="auto"/>
        </w:rPr>
      </w:pPr>
    </w:p>
    <w:p>
      <w:pPr>
        <w:ind w:left="2080" w:right="259" w:hanging="337"/>
        <w:spacing w:after="0" w:line="269" w:lineRule="auto"/>
        <w:tabs>
          <w:tab w:leader="none" w:pos="208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5"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The series K preferred stock has no stated maturity date and the company is not required to redeem the series K preferred stock at any time. Accordingly, the series K preferred stock will remain outstanding indefinitely, unless the company decides, at its option, to exercise its redemption right or, under circumstances where the holders of the series K preferred stock have a conversion right, such holders decide to convert the series K preferred stock into common stock. The series K preferred stock is not subject to any sinking fund.</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5"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Holders of series K preferred stock generally have no voting rights. However, if the company is in arrears on dividends on the series K preferred stock for six or more quarterly periods, whether or not consecutive, holders of the series K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until all unpaid dividends with respect to the series K preferred stock and any other class or series of parity preferred stock have been paid or declared and a sum sufficient for the payment thereof set aside for payment. In addition, the company may not make certain material and adverse changes to the terms of the series K preferred stock without the affirmative vote of the holders of at least two-thirds of the outstanding shares of series K preferred stock and all other shares of any class or series ranking on parity with the series K preferred stock that are entitled to similar voting rights (voting together as a single class).</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5"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K preferred stock will have the right (unless, prior to the Change of Control Conversion Date, the company has provided or provides notice of its election to redeem the series K preferred stock) to convert some or all of the series K preferred stock held by such holder on the date the series K preferred stock is to be converted, which we refer to as the Change of Control Conversion Date, into a number of shares of common stock per share of series K preferred stock to be converted equal to the lesser of:</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88"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239" w:hanging="337"/>
        <w:spacing w:after="0" w:line="261" w:lineRule="auto"/>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K preferred stock dividend payment and prior to the corresponding series K preferred stock dividend payment date, in which case no additional amount for such accrued and unpaid dividends will be included in this sum) by (ii) the Common Stock Price (as defined below); and</w:t>
      </w:r>
    </w:p>
    <w:p>
      <w:pPr>
        <w:spacing w:after="0" w:line="68"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0.43611 (i.e., the Share Cap), subject to certain adjustments;</w:t>
      </w:r>
    </w:p>
    <w:p>
      <w:pPr>
        <w:spacing w:after="0" w:line="178" w:lineRule="exact"/>
        <w:rPr>
          <w:sz w:val="20"/>
          <w:szCs w:val="20"/>
          <w:color w:val="auto"/>
        </w:rPr>
      </w:pPr>
    </w:p>
    <w:p>
      <w:pPr>
        <w:ind w:left="1320" w:right="739"/>
        <w:spacing w:after="0" w:line="286"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K preferred stock.</w:t>
      </w:r>
    </w:p>
    <w:p>
      <w:pPr>
        <w:spacing w:after="0" w:line="125"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2" w:lineRule="exact"/>
        <w:rPr>
          <w:sz w:val="20"/>
          <w:szCs w:val="20"/>
          <w:color w:val="auto"/>
        </w:rPr>
      </w:pPr>
    </w:p>
    <w:p>
      <w:pPr>
        <w:ind w:left="1320" w:right="239"/>
        <w:spacing w:after="0" w:line="252" w:lineRule="auto"/>
        <w:rPr>
          <w:sz w:val="20"/>
          <w:szCs w:val="20"/>
          <w:color w:val="auto"/>
        </w:rPr>
      </w:pPr>
      <w:r>
        <w:rPr>
          <w:rFonts w:ascii="Times New Roman" w:cs="Times New Roman" w:eastAsia="Times New Roman" w:hAnsi="Times New Roman"/>
          <w:sz w:val="14"/>
          <w:szCs w:val="14"/>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 w:lineRule="exact"/>
        <w:rPr>
          <w:sz w:val="20"/>
          <w:szCs w:val="20"/>
          <w:color w:val="auto"/>
        </w:rPr>
      </w:pPr>
    </w:p>
    <w:p>
      <w:pPr>
        <w:ind w:left="1320" w:right="299"/>
        <w:spacing w:after="0" w:line="256"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K preferred stock will not have any right to convert the series K preferred stock into shares of the common stock in connection with the Change of Control and any shares of series K preferred stock selected for redemption that have been tendered for conversion will be redeemed on the related date of redemption instead of converted on the Change of Control Conversion Date.</w:t>
      </w:r>
    </w:p>
    <w:p>
      <w:pPr>
        <w:spacing w:after="0" w:line="145" w:lineRule="exact"/>
        <w:rPr>
          <w:sz w:val="20"/>
          <w:szCs w:val="20"/>
          <w:color w:val="auto"/>
        </w:rPr>
      </w:pPr>
    </w:p>
    <w:p>
      <w:pPr>
        <w:ind w:left="1320" w:right="499"/>
        <w:spacing w:after="0" w:line="286"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K preferred stock is not convertible into or exchangeable for any other securities or property.</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transfer agent and registrar for the series K preferred stock is Equiniti Trust Company, LLC.</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5.200% Series L Cumulative Redeemable Preferred Stock</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95" w:lineRule="exact"/>
        <w:rPr>
          <w:sz w:val="20"/>
          <w:szCs w:val="20"/>
          <w:color w:val="auto"/>
        </w:rPr>
      </w:pPr>
    </w:p>
    <w:p>
      <w:pPr>
        <w:jc w:val="both"/>
        <w:ind w:left="1320" w:right="31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and a duly authorized committee thereof approved articles supplementary, a copy of which has been previously filed with the SEC and which is incorporated by reference as an exhibit to the registration statement of which this prospectus is a part, creating the series L preferred stock as a series of the company’s preferred stock, designated as the 5.200% Series L Cumulative Redeemable Preferred Stock. The series L preferred stock is validly issued, fully paid and nonassessable.</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series L preferred stock is currently listed on the NYSE as “DLR Pr L”.</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Ranking</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series L preferred stock ranks, with respect to dividend rights and rights upon the company’s liquidation, dissolution or winding-up:</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88" w:right="1440"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439" w:hanging="337"/>
        <w:spacing w:after="0" w:line="286" w:lineRule="auto"/>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senior to all classes or series of the common stock and to any other class or series of stock expressly designated as ranking junior to the series L preferred stock;</w:t>
      </w:r>
    </w:p>
    <w:p>
      <w:pPr>
        <w:spacing w:after="0" w:line="50" w:lineRule="exact"/>
        <w:rPr>
          <w:rFonts w:ascii="Times New Roman" w:cs="Times New Roman" w:eastAsia="Times New Roman" w:hAnsi="Times New Roman"/>
          <w:sz w:val="14"/>
          <w:szCs w:val="14"/>
          <w:color w:val="auto"/>
        </w:rPr>
      </w:pPr>
    </w:p>
    <w:p>
      <w:pPr>
        <w:ind w:left="2080" w:right="699" w:hanging="337"/>
        <w:spacing w:after="0" w:line="286" w:lineRule="auto"/>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parity with any class or series of stock expressly designated as ranking on parity with the series L preferred stock, including the company’s series J preferred stock and series K preferred stock; and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junior to any other class or series of stock expressly designated as ranking senior to the series L preferred stock.</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 Rate and Payment Date</w:t>
      </w:r>
    </w:p>
    <w:p>
      <w:pPr>
        <w:spacing w:after="0" w:line="9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Holders of series L preferred stock are entitled to receive cumulative cash dividends on the series L preferred stock from and including the date of original issue, payable quarterly in arrears on or about the last calendar day of March, June, September and December of each year, at the rate of 5.200% per annum of the $25.00 liquidation preference per share (equivalent to an annual amount of $1.30 per share). Dividends on the series L preferred stock will accrue whether or not the company has earnings, whether or not there are funds legally available for the payment of such dividends and whether or not such dividends are authorized or declared.</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5"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In the event of a liquidation, dissolution or winding up, holders of the series L preferred stock will have the right to receive $25.00 per share, plus accrued and unpaid dividends (whether or not earned or declared) up to but excluding the date of payment, before any payment is made to holders of the common stock and any other class or series of stock ranking junior to the series L preferred stock as to liquidation rights. The rights of holders of series L preferred stock to receive their liquidation preference will be subject to the proportionate rights of any other class or series of stock ranking on parity with the series L preferred stock as to liquidation.</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Optional Redemption</w:t>
      </w:r>
    </w:p>
    <w:p>
      <w:pPr>
        <w:spacing w:after="0" w:line="9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The series L preferred stock is redeemable at the company’s option, in whole or in part at any time or from time to time, for cash at a redemption price of $25.00 per share, plus accrued and unpaid dividends (whether or not authorized or declared) up to but excluding the redemption date. However, unless full cumulative dividends on the series L preferred stock for all past dividend periods have been, or contemporaneously are, paid or an amount in cash sufficient for the payment thereof is set apart, no shares of series L preferred stock may be redeemed unless all outstanding shares of series L preferred stock are simultaneously redeemed; provided, that the foregoing restriction does not prevent the company from taking action necessary to preserve its status as a REIT. Any partial redemption will be on a pro rata basis.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Special Optional Redemption</w:t>
      </w:r>
    </w:p>
    <w:p>
      <w:pPr>
        <w:spacing w:after="0" w:line="95"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Upon the occurrence of a Change of Control, (as defined below) the company may, at its option, redeem the series L preferred stock, in whole or in part within 120 days after the first date on which such Change of Control occurred, by paying $25.00 per share, plus any accrued and unpaid dividends to, but not including, the date of redemption. If, prior to the Change of Control Conversion Date (as defined below), the company exercises any of its redemption rights relating to the series L preferred stock (whether its optional redemption right or its special optional redemption right), the holders of series L preferred stock will not have the conversion right described below.</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 “Change of Control” is when, after the original issuance of the series L preferred stock, the following have occurred and are continuing:</w:t>
      </w:r>
    </w:p>
    <w:p>
      <w:pPr>
        <w:spacing w:after="0" w:line="104" w:lineRule="exact"/>
        <w:rPr>
          <w:sz w:val="20"/>
          <w:szCs w:val="20"/>
          <w:color w:val="auto"/>
        </w:rPr>
      </w:pPr>
    </w:p>
    <w:p>
      <w:pPr>
        <w:ind w:left="2080" w:right="359" w:hanging="337"/>
        <w:spacing w:after="0" w:line="286" w:lineRule="auto"/>
        <w:tabs>
          <w:tab w:leader="none" w:pos="20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by any person, including any syndicate or group deemed to be a “person” under Section 13(d)(3) of the Exchange Act, of beneficial ownership, directly or indirectly, through a</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88" w:right="1440"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259"/>
        <w:spacing w:after="0" w:line="261" w:lineRule="auto"/>
        <w:rPr>
          <w:sz w:val="20"/>
          <w:szCs w:val="20"/>
          <w:color w:val="auto"/>
        </w:rPr>
      </w:pPr>
      <w:r>
        <w:rPr>
          <w:rFonts w:ascii="Times New Roman" w:cs="Times New Roman" w:eastAsia="Times New Roman" w:hAnsi="Times New Roman"/>
          <w:sz w:val="14"/>
          <w:szCs w:val="14"/>
          <w:color w:val="auto"/>
        </w:rPr>
        <w:t>purchase, merger or other acquisition transaction or series of purchases, mergers or other acquisition transactions of stock of the company entitling that person to exercise more than 50% of the total voting power of all stock of the company entitled to vote generally in the election of the company’s directors (except that such person will be deemed to have beneficial ownership of all securities that such person has the right to acquire, whether such right is currently exercisable or is exercisable only upon the occurrence of a subsequent condition); and</w:t>
      </w:r>
    </w:p>
    <w:p>
      <w:pPr>
        <w:spacing w:after="0" w:line="68" w:lineRule="exact"/>
        <w:rPr>
          <w:sz w:val="20"/>
          <w:szCs w:val="20"/>
          <w:color w:val="auto"/>
        </w:rPr>
      </w:pPr>
    </w:p>
    <w:p>
      <w:pPr>
        <w:ind w:left="2080" w:right="259" w:hanging="337"/>
        <w:spacing w:after="0" w:line="269" w:lineRule="auto"/>
        <w:tabs>
          <w:tab w:leader="none" w:pos="20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closing of any transaction referred to in the bullet point above, neither the company nor the acquiring or surviving entity has a class of common securities (or American Depositary Receipts representing such securities) listed on the NYSE, the NYSE Amex or NASDAQ or listed or quoted on an exchange or quotation system that is a successor to the NYSE, the NYSE Amex or NASDAQ.</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 Maturity, Sinking Fund or Mandatory Redemption</w:t>
      </w:r>
    </w:p>
    <w:p>
      <w:pPr>
        <w:spacing w:after="0" w:line="95"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The series L preferred stock has no stated maturity date and the company is not required to redeem the series L preferred stock at any time. Accordingly, the series L preferred stock will remain outstanding indefinitely, unless the company decides, at its option, to exercise its redemption right or, under circumstances where the holders of the series L preferred stock have a conversion right, such holders decide to convert the series L preferred stock into common stock. The series L preferred stock is not subject to any sinking fund.</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95"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Holders of series L preferred stock generally have no voting rights. However, if the company is in arrears on dividends on the series L preferred stock for six or more quarterly periods, whether or not consecutive, holders of the series L preferred stock (voting together as a class with the holders of all other classes or series of parity preferred stock upon which like voting rights have been conferred and are exercisable) will be entitled to vote at a special meeting called upon the written request of at least 10% of such holders or at the next annual meeting of stockholders and each subsequent annual meeting of stockholders for the election of two additional directors to serve on the company’s board of directors until all unpaid dividends with respect to the series L preferred stock and any other class or series of parity preferred stock have been paid or declared and a sum sufficient for the payment thereof set aside for payment. In addition, the company may not make certain material and adverse changes to the terms of the series L preferred stock without the affirmative vote of the holders of at least two-thirds of the outstanding shares of series L preferred stock and all other shares of any class or series ranking on parity with the series L preferred stock that are entitled to similar voting rights (voting together as a single class).</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5"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Upon the occurrence of a Change of Control, each holder of series L preferred stock will have the right (unless, prior to the Change of Control Conversion Date, the company has provided or provides notice of its election to redeem the series L preferred stock) to convert some or all of the series L preferred stock held by such holder on the date the series L preferred stock is to be converted, which we refer to as the Change of Control Conversion Date, into a number of shares of common stock per share of series L preferred stock to be converted equal to the lesser of:</w:t>
      </w:r>
    </w:p>
    <w:p>
      <w:pPr>
        <w:spacing w:after="0" w:line="161" w:lineRule="exact"/>
        <w:rPr>
          <w:sz w:val="20"/>
          <w:szCs w:val="20"/>
          <w:color w:val="auto"/>
        </w:rPr>
      </w:pPr>
    </w:p>
    <w:p>
      <w:pPr>
        <w:jc w:val="both"/>
        <w:ind w:left="2080" w:right="239" w:hanging="337"/>
        <w:spacing w:after="0" w:line="269" w:lineRule="auto"/>
        <w:tabs>
          <w:tab w:leader="none" w:pos="20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quotient obtained by dividing (i) the sum of the $25.00 liquidation preference plus the amount of any accrued and unpaid dividends to, but not including, the Change of Control Conversion Date (unless the Change of Control Conversion Date is after a record date for a series L preferred stock dividend</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88" w:right="1440"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579"/>
        <w:spacing w:after="0" w:line="286" w:lineRule="auto"/>
        <w:rPr>
          <w:sz w:val="20"/>
          <w:szCs w:val="20"/>
          <w:color w:val="auto"/>
        </w:rPr>
      </w:pPr>
      <w:r>
        <w:rPr>
          <w:rFonts w:ascii="Times New Roman" w:cs="Times New Roman" w:eastAsia="Times New Roman" w:hAnsi="Times New Roman"/>
          <w:sz w:val="14"/>
          <w:szCs w:val="14"/>
          <w:color w:val="auto"/>
        </w:rPr>
        <w:t>payment and prior to the corresponding series L preferred stock dividend payment date, in which case no additional amount for such accrued and unpaid dividends will be included in this sum) by (ii) the Common Stock Price (as defined below); and</w:t>
      </w:r>
    </w:p>
    <w:p>
      <w:pPr>
        <w:spacing w:after="0" w:line="146" w:lineRule="exact"/>
        <w:rPr>
          <w:sz w:val="20"/>
          <w:szCs w:val="20"/>
          <w:color w:val="auto"/>
        </w:rPr>
      </w:pPr>
    </w:p>
    <w:p>
      <w:pPr>
        <w:ind w:left="2080" w:hanging="337"/>
        <w:spacing w:after="0"/>
        <w:tabs>
          <w:tab w:leader="none" w:pos="20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0.38518 (i.e., the Share Cap), subject to certain adjustments;</w:t>
      </w:r>
    </w:p>
    <w:p>
      <w:pPr>
        <w:spacing w:after="0" w:line="178" w:lineRule="exact"/>
        <w:rPr>
          <w:sz w:val="20"/>
          <w:szCs w:val="20"/>
          <w:color w:val="auto"/>
        </w:rPr>
      </w:pPr>
    </w:p>
    <w:p>
      <w:pPr>
        <w:ind w:left="1320" w:right="219"/>
        <w:spacing w:after="0" w:line="286" w:lineRule="auto"/>
        <w:rPr>
          <w:sz w:val="20"/>
          <w:szCs w:val="20"/>
          <w:color w:val="auto"/>
        </w:rPr>
      </w:pPr>
      <w:r>
        <w:rPr>
          <w:rFonts w:ascii="Times New Roman" w:cs="Times New Roman" w:eastAsia="Times New Roman" w:hAnsi="Times New Roman"/>
          <w:sz w:val="14"/>
          <w:szCs w:val="14"/>
          <w:color w:val="auto"/>
        </w:rPr>
        <w:t>subject, in each case, to provisions for the receipt of alternative consideration as described in the articles supplementary relating to the Series L preferred stock.</w:t>
      </w:r>
    </w:p>
    <w:p>
      <w:pPr>
        <w:spacing w:after="0" w:line="125"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The “Common Stock Price” will be (i) if the consideration to be received in the Change of Control by the holders of common stock is solely cash, the amount of cash consideration per share of common stock or (ii) if the consideration to be received in the Change of Control by holders of common stock is other than solely cash (x) the average of the closing sale prices per share of the common stock (or, if no closing sale price is reported, the average of the closing bid and ask prices or, if more than one in either case, the average of the average closing bid and the average closing ask prices) for the ten consecutive trading days immediately preceding, but not including, the effective date of the Change of Control as reported on the principal U.S. securities exchange on which the common stock is then traded, or (y) the average of the last quoted bid prices for the company’s common stock in</w:t>
      </w:r>
    </w:p>
    <w:p>
      <w:pPr>
        <w:spacing w:after="0" w:line="2" w:lineRule="exact"/>
        <w:rPr>
          <w:sz w:val="20"/>
          <w:szCs w:val="20"/>
          <w:color w:val="auto"/>
        </w:rPr>
      </w:pPr>
    </w:p>
    <w:p>
      <w:pPr>
        <w:ind w:left="1320" w:right="239"/>
        <w:spacing w:after="0" w:line="265" w:lineRule="auto"/>
        <w:rPr>
          <w:sz w:val="20"/>
          <w:szCs w:val="20"/>
          <w:color w:val="auto"/>
        </w:rPr>
      </w:pPr>
      <w:r>
        <w:rPr>
          <w:rFonts w:ascii="Times New Roman" w:cs="Times New Roman" w:eastAsia="Times New Roman" w:hAnsi="Times New Roman"/>
          <w:sz w:val="14"/>
          <w:szCs w:val="14"/>
          <w:color w:val="auto"/>
        </w:rPr>
        <w:t>the over-the-counter market as reported by OTC Markets Group Inc. or similar organization for the ten consecutive trading days immediately preceding, but not including, the effective date of the Change of Control, if the common stock is not then listed for trading on a U.S. securities exchange.</w:t>
      </w:r>
    </w:p>
    <w:p>
      <w:pPr>
        <w:spacing w:after="0" w:line="139"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If, prior to the Change of Control Conversion Date, the company has provided or provides a redemption notice, whether pursuant to its special optional redemption right in connection with a Change of Control or its optional redemption right, holders of series L preferred stock will not have any right to convert the series L preferred stock into shares of the common stock in connection with the Change of Control and any shares of series L preferred stock selected for redemption that have been tendered for conversion will be redeemed on the related date of redemption instead of converted on the Change of Control Conversion Date.</w:t>
      </w:r>
    </w:p>
    <w:p>
      <w:pPr>
        <w:spacing w:after="0" w:line="142" w:lineRule="exact"/>
        <w:rPr>
          <w:sz w:val="20"/>
          <w:szCs w:val="20"/>
          <w:color w:val="auto"/>
        </w:rPr>
      </w:pPr>
    </w:p>
    <w:p>
      <w:pPr>
        <w:ind w:left="1320" w:right="519"/>
        <w:spacing w:after="0" w:line="286" w:lineRule="auto"/>
        <w:rPr>
          <w:sz w:val="20"/>
          <w:szCs w:val="20"/>
          <w:color w:val="auto"/>
        </w:rPr>
      </w:pPr>
      <w:r>
        <w:rPr>
          <w:rFonts w:ascii="Times New Roman" w:cs="Times New Roman" w:eastAsia="Times New Roman" w:hAnsi="Times New Roman"/>
          <w:sz w:val="14"/>
          <w:szCs w:val="14"/>
          <w:color w:val="auto"/>
        </w:rPr>
        <w:t>Except as provided above in connection with a Change of Control, the series L preferred stock is not convertible into or exchangeable for any other securities or property.</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transfer agent and registrar for the series L preferred stock is Equiniti Trust Company, LLC.</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88" w:right="1440"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DEPOSITARY SHARES</w:t>
      </w:r>
    </w:p>
    <w:p>
      <w:pPr>
        <w:spacing w:after="0" w:line="180"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The company may, at its option, elect to offer depositary shares rather than full shares of preferred stock. Each depositary share will represent ownership of and entitlement to all rights and preferences of a fraction of a share of preferred stock of a specified series (including dividend, voting, redemption and liquidation rights). The applicable fraction will be specified in a prospectus supplement. The shares of preferred stock represented by the depositary shares will be deposited with a depositary named in the applicable prospectus supplement, under a deposit agreement, among the company, the depositary and the holders of the certificates evidencing depositary shares, or depositary receipts. Depositary receipts will be delivered to those persons purchasing depositary shares in the offering. The depositary will be the transfer agent, registrar and dividend disbursing agent for the depositary shares. Holders of depositary receipts agree to be bound by the deposit agreement, which requires holders to take certain actions such as filing proof of residence and paying certain charges.</w:t>
      </w:r>
    </w:p>
    <w:p>
      <w:pPr>
        <w:spacing w:after="0" w:line="147"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The summary of the terms of the depositary shares contained in this prospectus shall apply unless otherwise specified on a supplement to this prospectus. This summary, as modified by any supplement to this prospectus, does not purport to be complete and is subject to, and qualified in its entirety by, the provisions of the deposit agreement, the company’s charter and the form of articles supplementary for the applicable series of preferred stock.</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5" w:lineRule="exact"/>
        <w:rPr>
          <w:sz w:val="20"/>
          <w:szCs w:val="20"/>
          <w:color w:val="auto"/>
        </w:rPr>
      </w:pPr>
    </w:p>
    <w:p>
      <w:pPr>
        <w:ind w:left="1320" w:right="359"/>
        <w:spacing w:after="0" w:line="259" w:lineRule="auto"/>
        <w:rPr>
          <w:sz w:val="20"/>
          <w:szCs w:val="20"/>
          <w:color w:val="auto"/>
        </w:rPr>
      </w:pPr>
      <w:r>
        <w:rPr>
          <w:rFonts w:ascii="Times New Roman" w:cs="Times New Roman" w:eastAsia="Times New Roman" w:hAnsi="Times New Roman"/>
          <w:sz w:val="14"/>
          <w:szCs w:val="14"/>
          <w:color w:val="auto"/>
        </w:rPr>
        <w:t>The depositary will distribute all cash dividends or other cash distributions received in respect of the series of preferred stock represented by the depositary shares to the record holders of depositary receipts in proportion to the number of depositary shares owned by such holders on the relevant record date, which will be the same date as the record date fixed by the company for the applicable series of preferred stock. The depositary, however, will distribute only such amount as can be distributed without attributing to any depositary share a fraction of one cent, and any balance not so distributed will be added to and treated as part of the next sum received by the depositary for distribution to record holders of depositary receipts then outstanding.</w:t>
      </w:r>
    </w:p>
    <w:p>
      <w:pPr>
        <w:spacing w:after="0" w:line="145" w:lineRule="exact"/>
        <w:rPr>
          <w:sz w:val="20"/>
          <w:szCs w:val="20"/>
          <w:color w:val="auto"/>
        </w:rPr>
      </w:pPr>
    </w:p>
    <w:p>
      <w:pPr>
        <w:ind w:left="1320" w:right="279"/>
        <w:spacing w:after="0" w:line="261" w:lineRule="auto"/>
        <w:rPr>
          <w:sz w:val="20"/>
          <w:szCs w:val="20"/>
          <w:color w:val="auto"/>
        </w:rPr>
      </w:pPr>
      <w:r>
        <w:rPr>
          <w:rFonts w:ascii="Times New Roman" w:cs="Times New Roman" w:eastAsia="Times New Roman" w:hAnsi="Times New Roman"/>
          <w:sz w:val="14"/>
          <w:szCs w:val="14"/>
          <w:color w:val="auto"/>
        </w:rPr>
        <w:t>In the event of a distribution other than in cash, the depositary will distribute property received by it to the record holders of depositary receipts entitled thereto, in proportion, as nearly as may be practicable, to the number of depositary shares owned by such holders on the relevant record date, unless the depositary determines (after consultation with the company) that it is not feasible to make such distribution, in which case the depositary may (with the company’s approval) adopt any other method for such distribution as it deems equitable and appropriate, including the sale of such property (at such place or places and upon such terms as it may deem equitable and appropriate) and distribution of the net proceeds from such sale to such holders.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5" w:lineRule="exact"/>
        <w:rPr>
          <w:sz w:val="20"/>
          <w:szCs w:val="20"/>
          <w:color w:val="auto"/>
        </w:rPr>
      </w:pPr>
    </w:p>
    <w:p>
      <w:pPr>
        <w:ind w:left="1320" w:right="279"/>
        <w:spacing w:after="0" w:line="269" w:lineRule="auto"/>
        <w:rPr>
          <w:sz w:val="20"/>
          <w:szCs w:val="20"/>
          <w:color w:val="auto"/>
        </w:rPr>
      </w:pPr>
      <w:r>
        <w:rPr>
          <w:rFonts w:ascii="Times New Roman" w:cs="Times New Roman" w:eastAsia="Times New Roman" w:hAnsi="Times New Roman"/>
          <w:sz w:val="14"/>
          <w:szCs w:val="14"/>
          <w:color w:val="auto"/>
        </w:rPr>
        <w:t>In the event of the liquidation, dissolution or winding up of the affairs of the company, whether voluntary or involuntary, the holders of each depositary share will be entitled to the fraction of the liquidation preference accorded each share of the applicable series of preferred stock as set forth in the applicable prospectus supplement.</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5"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If the series of preferred stock represented by the applicable series of depositary shares is redeemable, such depositary shares will be redeemed from the proceeds received by the depositary resulting from the redemption, in whole or in part, of preferred stock held by the depositary. Whenever the company redeems any preferred stock held by the depositary, the depositary will redeem as of the same redemption date the number of depositary shares representing the preferred stock so redeemed. The depositary will mail the notice of redemption promptly upon receipt of such notice from the company and not less than 30 nor more than 60 days prior to the date fixed for redemption of the preferred stock and the depositary shares to the record holders of the depositary receipts.</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88"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95"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Promptly upon receipt of notice of any meeting at which the holders of the series of preferred stock represented by the applicable series of depositary shares are entitled to vote, the depositary will mail the information contained in such notice of meeting to the record holders of the depositary receipts as of the record date for such meeting. Each such record holder of depositary receipts will be entitled to instruct the depositary as to the exercise of the voting rights pertaining to the number of shares of preferred stock represented by such record holder’s depositary shares. The depositary will endeavor, insofar as practicable, to vote such preferred stock represented by such depositary shares in accordance with such instructions, and the company will agree to take all action which may be deemed necessary by the depositary in order to enable the depositary to do so. The depositary will abstain from voting any of the preferred stock to the extent that it does not receive specific instructions from the holders of depositary receipts.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Withdrawal of Preferred Stock</w:t>
      </w:r>
    </w:p>
    <w:p>
      <w:pPr>
        <w:spacing w:after="0" w:line="95"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Upon surrender of depositary receipts at the principal office of the depositary and payment of any unpaid amount due the depositary, and subject to the terms of the deposit agreement, the owner of the depositary shares evidenced thereby is entitled to delivery of the number of whole shares of preferred stock and all money and other property, if any, represented by such depositary shares. Partial shares of preferred stock will not be issued. If the depositary receipts delivered by the holder evidence a number of depositary shares in excess of the number of depositary shares representing the number of whole shares of preferred stock to be withdrawn, the depositary will deliver to such holder at the same time a new depositary receipt evidencing such excess number of depositary shares. Holders of preferred stock thus withdrawn will not thereafter be entitled to deposit such shares under the deposit agreement or to receive depositary receipts evidencing depositary shares therefor.</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Amendment and Termination of Deposit Agreement</w:t>
      </w:r>
    </w:p>
    <w:p>
      <w:pPr>
        <w:spacing w:after="0" w:line="9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The form of depositary receipt evidencing the depositary shares and any provision of the deposit agreement may at any time and from time to time be amended by agreement between the company and the depositary. However, any amendment which materially and adversely alters the rights of the holders (other than any change in fees) of depositary shares will not be effective unless such amendment has been approved by at least a majority of the depositary shares then outstanding. No such amendment may impair the right, subject to the terms of the deposit agreement, of any owner of any depositary shares to surrender the depositary receipt evidencing such depositary shares with instructions to the depositary to deliver to the holder the preferred stock and all money and other property, if any, represented thereby, except in order to comply with mandatory provisions of applicable law.</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deposit agreement will be permitted to be terminated by the company upon not less than 30 days prior written notice to the applicable depositary if</w:t>
      </w:r>
    </w:p>
    <w:p>
      <w:pPr>
        <w:spacing w:after="0" w:line="23" w:lineRule="exact"/>
        <w:rPr>
          <w:sz w:val="20"/>
          <w:szCs w:val="20"/>
          <w:color w:val="auto"/>
        </w:rPr>
      </w:pPr>
    </w:p>
    <w:p>
      <w:pPr>
        <w:ind w:left="1320" w:right="199" w:hanging="1"/>
        <w:spacing w:after="0" w:line="254" w:lineRule="auto"/>
        <w:tabs>
          <w:tab w:leader="none" w:pos="1489"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termination is necessary to preserve the company’s status as a REIT or (ii) a majority of each series of preferred stock affected by such termination consents to such termination, whereupon such depositary will be required to deliver or make available to each holder of depositary receipts, upon surrender of the depositary receipts held by such holder, such number of whole or fractional shares of preferred stock as are represented by the depositary shares evidenced by such depositary receipts together with any other property held by such depositary with respect to such depositary receipts. The company will agree that if the deposit agreement is terminated to preserve the company’s status as a REIT, then it will use its best efforts to list the preferred stock issued upon surrender of the related depositary shares on a national securities exchange. In addition, the deposit agreement will automatically terminate if (i) all outstanding depositary shares thereunder shall have been redeemed, (ii) there shall have been a final distribution in respect of the related preferred stock in connection with any liquidation, dissolution or winding-up of the company and such distribution shall have been distributed to the holders of depositary receipts evidencing the depositary shares representing such preferred stock or (iii) each share of the related preferred stock shall have been converted into stock of the company not so represented by depositary shares.</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10159"/>
          </w:cols>
          <w:pgMar w:left="300" w:top="388" w:right="1440"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Charges of Depositary</w:t>
      </w:r>
    </w:p>
    <w:p>
      <w:pPr>
        <w:spacing w:after="0" w:line="95"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The company will pay all transfer and other taxes and governmental charges arising solely from the existence of the depositary arrangements. The company will pay charges of the depositary in connection with the initial deposit of the preferred stock and initial issuance of the depositary shares, and redemption of the preferred stock and all withdrawals of preferred stock by owners of depositary shares. Holders of depositary receipts will pay transfer, income and other taxes and governmental charges and certain other charges as are provided in the deposit agreement to be for their accounts. In certain circumstances, the depositary may refuse to transfer depositary shares, may withhold dividends and distributions and sell the depositary shares evidenced by such depositary receipt if such charges are not paid. The applicable prospectus supplement will include information with respect to fees and charges, if any, in connection with the deposit or substitution of the underlying securities, the receipt and distribution of dividends, the sale or exercise of rights, the withdrawal of the underlying security, and the transferring, splitting or grouping of receipts. The applicable prospectus supplement will also include information with respect to the right to collect the fees and charges, if any, against dividends received and deposited securities.</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Miscellaneous</w:t>
      </w:r>
    </w:p>
    <w:p>
      <w:pPr>
        <w:spacing w:after="0" w:line="95"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The depositary will forward to the holders of depositary receipts all notices, reports and proxy soliciting material from the company which are delivered to the depositary and which the company is required to furnish to the holders of the preferred stock. In addition, the depositary will make available for inspection by holders of depositary receipts at the principal office of the depositary, and at such other places as it may from time to time deem advisable, any notices, reports and proxy soliciting material received from the company which are received by the depositary as the holder of preferred stock. The applicable prospectus supplement will include information about the rights, if any, of holders of receipts to inspect the transfer books of the depositary and the list of holders of receipts.</w:t>
      </w:r>
    </w:p>
    <w:p>
      <w:pPr>
        <w:spacing w:after="0" w:line="145"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Neither the depositary nor the company assumes any obligation or will be subject to any liability under the deposit agreement to holders of depositary receipts other than for its negligence or willful misconduct. Neither the depositary nor the company will be liable if it is prevented or delayed by law or any circumstance beyond its control in performing its obligations under the deposit agreement. The obligations of the company and the depositary under the deposit agreement will be limited to performance in good faith of their duties thereunder, and they will not be obligated to prosecute or defend any legal proceeding in respect of any depositary shares or preferred stock unless satisfactory indemnity is furnished. The company and the depositary may rely on written advice of counsel or accountants, on information provided by holders of the depositary receipts or other persons believed in good faith to be competent to give such information and on documents believed to be genuine and to have been signed or presented by the proper party or parties.</w:t>
      </w:r>
    </w:p>
    <w:p>
      <w:pPr>
        <w:spacing w:after="0" w:line="145"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4"/>
          <w:szCs w:val="14"/>
          <w:color w:val="auto"/>
        </w:rPr>
        <w:t>In the event the depositary shall receive conflicting claims, requests or instructions from any holders of depositary receipts, on the one hand, and the company, on the other hand, the depositary shall be entitled to act on such claims, requests or instructions received from the company.</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Resignation and Removal of Depositary</w:t>
      </w:r>
    </w:p>
    <w:p>
      <w:pPr>
        <w:spacing w:after="0" w:line="95" w:lineRule="exact"/>
        <w:rPr>
          <w:sz w:val="20"/>
          <w:szCs w:val="20"/>
          <w:color w:val="auto"/>
        </w:rPr>
      </w:pPr>
    </w:p>
    <w:p>
      <w:pPr>
        <w:ind w:left="1320" w:right="379"/>
        <w:spacing w:after="0" w:line="264" w:lineRule="auto"/>
        <w:rPr>
          <w:sz w:val="20"/>
          <w:szCs w:val="20"/>
          <w:color w:val="auto"/>
        </w:rPr>
      </w:pPr>
      <w:r>
        <w:rPr>
          <w:rFonts w:ascii="Times New Roman" w:cs="Times New Roman" w:eastAsia="Times New Roman" w:hAnsi="Times New Roman"/>
          <w:sz w:val="14"/>
          <w:szCs w:val="14"/>
          <w:color w:val="auto"/>
        </w:rPr>
        <w:t>The depositary may resign at any time by delivering to us notice of its election to do so, and the company may at any time remove the depositary,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$150,000,000.</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10159"/>
          </w:cols>
          <w:pgMar w:left="300" w:top="388"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WARRANTS</w:t>
      </w:r>
    </w:p>
    <w:p>
      <w:pPr>
        <w:spacing w:after="0" w:line="180"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company may issue warrants for the purchase of the common stock, preferred stock or depositary shares of Digital Realty Trust, Inc., and may issue warrants independently or together with common stock, preferred stock, depositary shares or debt securities or attached to or separate from such securities. The company will issue each series of warrants under a separate warrant agreement, and may appoint a bank or trust company as warrant agent, all as specified in the applicable prospectus supplement. Any warrant agent will act solely as the company’s agent in connection with the warrants and will not act for or on behalf of warrant holders.</w:t>
      </w:r>
    </w:p>
    <w:p>
      <w:pPr>
        <w:spacing w:after="0" w:line="142" w:lineRule="exact"/>
        <w:rPr>
          <w:sz w:val="20"/>
          <w:szCs w:val="20"/>
          <w:color w:val="auto"/>
        </w:rPr>
      </w:pPr>
    </w:p>
    <w:p>
      <w:pPr>
        <w:ind w:left="1320" w:right="319"/>
        <w:spacing w:after="0" w:line="286" w:lineRule="auto"/>
        <w:rPr>
          <w:sz w:val="20"/>
          <w:szCs w:val="20"/>
          <w:color w:val="auto"/>
        </w:rPr>
      </w:pPr>
      <w:r>
        <w:rPr>
          <w:rFonts w:ascii="Times New Roman" w:cs="Times New Roman" w:eastAsia="Times New Roman" w:hAnsi="Times New Roman"/>
          <w:sz w:val="14"/>
          <w:szCs w:val="14"/>
          <w:color w:val="auto"/>
        </w:rPr>
        <w:t>The following sets forth certain general terms and provisions of the warrants that may be offered under this registration statement. Further terms of the warrants and applicable warrant agreements will be set forth in the applicable prospectus supplement.</w:t>
      </w:r>
    </w:p>
    <w:p>
      <w:pPr>
        <w:spacing w:after="0" w:line="125" w:lineRule="exact"/>
        <w:rPr>
          <w:sz w:val="20"/>
          <w:szCs w:val="20"/>
          <w:color w:val="auto"/>
        </w:rPr>
      </w:pPr>
    </w:p>
    <w:p>
      <w:pPr>
        <w:ind w:left="1320" w:right="419"/>
        <w:spacing w:after="0" w:line="286" w:lineRule="auto"/>
        <w:rPr>
          <w:sz w:val="20"/>
          <w:szCs w:val="20"/>
          <w:color w:val="auto"/>
        </w:rPr>
      </w:pPr>
      <w:r>
        <w:rPr>
          <w:rFonts w:ascii="Times New Roman" w:cs="Times New Roman" w:eastAsia="Times New Roman" w:hAnsi="Times New Roman"/>
          <w:sz w:val="14"/>
          <w:szCs w:val="14"/>
          <w:color w:val="auto"/>
        </w:rPr>
        <w:t>The applicable prospectus supplement will describe the terms of the warrants in respect of which this prospectus is being delivered, including, where applicable, the following:</w:t>
      </w:r>
    </w:p>
    <w:p>
      <w:pPr>
        <w:spacing w:after="0" w:line="51" w:lineRule="exact"/>
        <w:rPr>
          <w:sz w:val="20"/>
          <w:szCs w:val="20"/>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such warrants;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aggregate number of such warrants outstanding;</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warrants will be issued;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and number of securities purchasable upon exercise of such warrants;</w:t>
      </w:r>
    </w:p>
    <w:p>
      <w:pPr>
        <w:spacing w:after="0" w:line="104" w:lineRule="exact"/>
        <w:rPr>
          <w:rFonts w:ascii="Times New Roman" w:cs="Times New Roman" w:eastAsia="Times New Roman" w:hAnsi="Times New Roman"/>
          <w:sz w:val="14"/>
          <w:szCs w:val="14"/>
          <w:color w:val="auto"/>
        </w:rPr>
      </w:pPr>
    </w:p>
    <w:p>
      <w:pPr>
        <w:ind w:left="2080" w:right="319" w:hanging="337"/>
        <w:spacing w:after="0" w:line="286" w:lineRule="auto"/>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other securities, if any, with which such warrants are issued and the number of such warrants issued with each such offered security;</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and after which such warrants and the related securities will be separately transferable;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at which each security purchasable upon exercise of such warrants may be purchased;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for changes to or adjustments in the exercise price;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the right to exercise such warrants shall commence and the date on which such right shall expire;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minimum or maximum amount of such warrants that may be exercised at any one time;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with respect to book-entry procedures, if any;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anti-dilution protection;</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material U.S. federal income tax considerations; and</w:t>
      </w:r>
    </w:p>
    <w:p>
      <w:pPr>
        <w:spacing w:after="0" w:line="104"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such warrants, including terms, procedures and limitations relating to the transferability, exercise and exchange of such warrants.</w:t>
      </w:r>
    </w:p>
    <w:p>
      <w:pPr>
        <w:spacing w:after="0" w:line="125" w:lineRule="exact"/>
        <w:rPr>
          <w:sz w:val="20"/>
          <w:szCs w:val="20"/>
          <w:color w:val="auto"/>
        </w:rPr>
      </w:pPr>
    </w:p>
    <w:p>
      <w:pPr>
        <w:ind w:left="1320" w:right="399"/>
        <w:spacing w:after="0" w:line="264" w:lineRule="auto"/>
        <w:rPr>
          <w:sz w:val="20"/>
          <w:szCs w:val="20"/>
          <w:color w:val="auto"/>
        </w:rPr>
      </w:pPr>
      <w:r>
        <w:rPr>
          <w:rFonts w:ascii="Times New Roman" w:cs="Times New Roman" w:eastAsia="Times New Roman" w:hAnsi="Times New Roman"/>
          <w:sz w:val="14"/>
          <w:szCs w:val="14"/>
          <w:color w:val="auto"/>
        </w:rPr>
        <w:t>Warrant certificates will be exchangeable for new warrant certificates of different denominations and warrants may be exercised at the corporate trust office of the warrant agent or any other office indicated in the applicable prospectus supplement. Prior to the exercise of their warrants, holders of warrants will not have any of the rights of holders of the securities purchasable upon such exercise or to any dividend payments or voting rights, as applicable, as to which holders of the shares of the common stock or preferred stock purchasable upon such exercise may be entitled.</w:t>
      </w:r>
    </w:p>
    <w:p>
      <w:pPr>
        <w:spacing w:after="0" w:line="140"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Each warrant will entitle the holder to purchase for cash such number of shares of common stock, shares of preferred stock, or depository shares, at such exercise price as shall, in each case, be set forth, or be determinable as set forth, in the applicable prospectus supplement relating to the warrants offered thereby. Unless otherwise specified in the applicable prospectus supplement, warrants may be exercised at any time up to 5:00 p.m. New York City time on the expiration date set forth in applicable prospectus supplement. After 5:00 p.m. New York City time on the expiration date, unexercised warrants will be void.</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10159"/>
          </w:cols>
          <w:pgMar w:left="300" w:top="388" w:right="1440"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64" w:lineRule="auto"/>
        <w:rPr>
          <w:sz w:val="20"/>
          <w:szCs w:val="20"/>
          <w:color w:val="auto"/>
        </w:rPr>
      </w:pPr>
      <w:r>
        <w:rPr>
          <w:rFonts w:ascii="Times New Roman" w:cs="Times New Roman" w:eastAsia="Times New Roman" w:hAnsi="Times New Roman"/>
          <w:sz w:val="14"/>
          <w:szCs w:val="14"/>
          <w:color w:val="auto"/>
        </w:rPr>
        <w:t>Warrants may be exercised as set forth in the applicable prospectus supplement relating to the warrants. Upon receipt of payment and the warrant certificate properly completed and duly executed at the corporate trust office of the warrant agent or any other office indicated in the applicable prospectus supplement, the company will, as soon as practicable, forward the securities purchasable upon such exercise. If less than all of the warrants are presented by such warrant certificate of exercise, a new warrant certificate will be issued for the remaining amount of warrants.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10159"/>
          </w:cols>
          <w:pgMar w:left="300" w:top="388" w:right="1440"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DEBT SECURITIES AND RELATED GUARANTEES</w:t>
      </w:r>
    </w:p>
    <w:p>
      <w:pPr>
        <w:spacing w:after="0" w:line="180"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The following is a description of the general terms and provisions of our operating partnership’s debt securities and related guarantees by Digital Realty Trust, Inc., if applicable. When our operating partnership offers to sell a particular series of debt securities, we will describe the specific terms of the series in a supplement to this prospectus, including the terms of any related guarantees by Digital Realty Trust, Inc. and the terms, if any, on which a series of debt securities may be convertible into or exchangeable for other securities. We will also indicate in the prospectus supplement whether the general terms and provisions described in this prospectus apply to a particular series of debt securities. To the extent the information contained in the prospectus supplement differs from this summary description, you should rely on the information in the prospectus supplement.</w:t>
      </w:r>
    </w:p>
    <w:p>
      <w:pPr>
        <w:spacing w:after="0" w:line="145"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The debt securities may be offered in the form of either senior debt securities or subordinated debt securities. Unless otherwise specified in a prospectus supplement, the debt securities will be the direct, unsecured obligations of Digital Realty Trust, L.P., and will rank equally in right of payment with all of Digital Realty Trust, L.P.’s other unsecured and unsubordinated indebtedness. The debt securities that are sold may be exchangeable for and/or convertible into common stock or any of the other securities that may be sold under this prospectus.</w:t>
      </w:r>
    </w:p>
    <w:p>
      <w:pPr>
        <w:spacing w:after="0" w:line="140" w:lineRule="exact"/>
        <w:rPr>
          <w:sz w:val="20"/>
          <w:szCs w:val="20"/>
          <w:color w:val="auto"/>
        </w:rPr>
      </w:pPr>
    </w:p>
    <w:p>
      <w:pPr>
        <w:ind w:left="1320" w:right="339"/>
        <w:spacing w:after="0" w:line="261" w:lineRule="auto"/>
        <w:rPr>
          <w:sz w:val="20"/>
          <w:szCs w:val="20"/>
          <w:color w:val="auto"/>
        </w:rPr>
      </w:pPr>
      <w:r>
        <w:rPr>
          <w:rFonts w:ascii="Times New Roman" w:cs="Times New Roman" w:eastAsia="Times New Roman" w:hAnsi="Times New Roman"/>
          <w:sz w:val="14"/>
          <w:szCs w:val="14"/>
          <w:color w:val="auto"/>
        </w:rPr>
        <w:t>Unless otherwise specified in a prospectus supplement, the debt securities will be issued under an indenture between us and Computershare Trust Company, N.A., successor to Wells Fargo Bank, National Association, as trustee, or the trustee. We have summarized select portions of the indenture below. The summary is not complete. We have filed the indenture as an exhibit to the registration statement of which this prospectus is a part, and you should read the indenture and our debt securities carefully for provisions that may be important to you. Capitalized terms used in the summary and not defined in this prospectus have the meaning specified in the indenture.</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5" w:lineRule="exact"/>
        <w:rPr>
          <w:sz w:val="20"/>
          <w:szCs w:val="20"/>
          <w:color w:val="auto"/>
        </w:rPr>
      </w:pPr>
    </w:p>
    <w:p>
      <w:pPr>
        <w:ind w:left="1320" w:right="199"/>
        <w:spacing w:after="0" w:line="269" w:lineRule="auto"/>
        <w:rPr>
          <w:sz w:val="20"/>
          <w:szCs w:val="20"/>
          <w:color w:val="auto"/>
        </w:rPr>
      </w:pPr>
      <w:r>
        <w:rPr>
          <w:rFonts w:ascii="Times New Roman" w:cs="Times New Roman" w:eastAsia="Times New Roman" w:hAnsi="Times New Roman"/>
          <w:sz w:val="14"/>
          <w:szCs w:val="14"/>
          <w:color w:val="auto"/>
        </w:rPr>
        <w:t>The terms of each series of debt securities will be established by or pursuant to a resolution of the company’s board of directors and set forth or determined in the manner provided in an officer’s certificate or by a supplemental indenture. The particular terms of each series of debt securities will be described in a prospectus supplement relating to such series, including any pricing supplement.</w:t>
      </w:r>
    </w:p>
    <w:p>
      <w:pPr>
        <w:spacing w:after="0" w:line="137"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Unless otherwise specified in a prospectus supplement, the indenture will designate Computershare Trust Company, N.A. as the trustee for the indenture with respect to one or more series of our operating partnership’s debt securities and related guarantees of our company, if applicable. Computershare Trust Company, N.A., or any other specified trustee, may resign or be removed with respect to one or more series of our debt securities, and a successor trustee may be appointed to act with respect to that series.</w:t>
      </w: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Unless otherwise specified in a supplement to this prospectus, the debt securities will be our operating partnership’s direct, unsecured obligations and will rank equally with all of its other unsecured and unsubordinated indebtedness, and may be fully and unconditionally guaranteed by the company. We can issue an unlimited amount of our operating partnership’s debt securities under the indenture that may be in one or more series with the same or various maturities, at par, at a premium, or at a discount. We will set forth in a prospectus supplement, including any pricing supplement, relating to any series of debt securities being offered, the aggregate principal amount and the following terms of such series of debt securities, to the extent applicable:</w:t>
      </w:r>
    </w:p>
    <w:p>
      <w:pPr>
        <w:spacing w:after="0" w:line="71" w:lineRule="exact"/>
        <w:rPr>
          <w:sz w:val="20"/>
          <w:szCs w:val="20"/>
          <w:color w:val="auto"/>
        </w:rPr>
      </w:pPr>
    </w:p>
    <w:p>
      <w:pPr>
        <w:ind w:left="2080" w:hanging="337"/>
        <w:spacing w:after="0"/>
        <w:tabs>
          <w:tab w:leader="none" w:pos="20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of the series (which shall distinguish the debt securities of that particular series from the debt securities of any other series);</w:t>
      </w:r>
    </w:p>
    <w:p>
      <w:pPr>
        <w:spacing w:after="0" w:line="104" w:lineRule="exact"/>
        <w:rPr>
          <w:rFonts w:ascii="Times New Roman" w:cs="Times New Roman" w:eastAsia="Times New Roman" w:hAnsi="Times New Roman"/>
          <w:sz w:val="14"/>
          <w:szCs w:val="14"/>
          <w:color w:val="auto"/>
        </w:rPr>
      </w:pPr>
    </w:p>
    <w:p>
      <w:pPr>
        <w:ind w:left="5580" w:right="539" w:hanging="3837"/>
        <w:spacing w:after="0" w:line="460" w:lineRule="auto"/>
        <w:tabs>
          <w:tab w:leader="none" w:pos="2089"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(expressed as a percentage of the principal amount thereof) at which the debt securities of the series will be issued; 26</w:t>
      </w:r>
    </w:p>
    <w:p>
      <w:pPr>
        <w:sectPr>
          <w:pgSz w:w="11900" w:h="16838" w:orient="portrait"/>
          <w:cols w:equalWidth="0" w:num="1">
            <w:col w:w="10159"/>
          </w:cols>
          <w:pgMar w:left="300" w:top="388" w:right="1440"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2080" w:right="219" w:hanging="337"/>
        <w:spacing w:after="0" w:line="269"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aggregate principal amount of the debt securities of the series that may be authenticated and delivered under the indenture (except for debt securities authenticated and delivered upon registration of transfer of, or in exchange for, or in lieu of, other debt securities of the series pursuant to the indenture);</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or dates on which the principal of the debt securities of the series is payable;</w:t>
      </w:r>
    </w:p>
    <w:p>
      <w:pPr>
        <w:spacing w:after="0" w:line="104" w:lineRule="exact"/>
        <w:rPr>
          <w:rFonts w:ascii="Times New Roman" w:cs="Times New Roman" w:eastAsia="Times New Roman" w:hAnsi="Times New Roman"/>
          <w:sz w:val="14"/>
          <w:szCs w:val="14"/>
          <w:color w:val="auto"/>
        </w:rPr>
      </w:pPr>
    </w:p>
    <w:p>
      <w:pPr>
        <w:ind w:left="2080" w:right="359" w:hanging="337"/>
        <w:spacing w:after="0" w:line="264"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or rates (which may be fixed or variable) per annum or, if applicable, the method used to determine such rate or rates (including, but not limited to, any commodity, commodity index, stock exchange index or financial index) at which the debt securities of the series shall bear interest, if any, the date or dates from which such interest, if any, shall accrue, the date or dates on which interest, if any, shall commence and be payable and any regular record date for the interest payable on any interest payment date;</w:t>
      </w:r>
    </w:p>
    <w:p>
      <w:pPr>
        <w:spacing w:after="0" w:line="65" w:lineRule="exact"/>
        <w:rPr>
          <w:rFonts w:ascii="Times New Roman" w:cs="Times New Roman" w:eastAsia="Times New Roman" w:hAnsi="Times New Roman"/>
          <w:sz w:val="14"/>
          <w:szCs w:val="14"/>
          <w:color w:val="auto"/>
        </w:rPr>
      </w:pPr>
    </w:p>
    <w:p>
      <w:pPr>
        <w:ind w:left="2080" w:right="259" w:hanging="337"/>
        <w:spacing w:after="0" w:line="269"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or places where principal of, and premium, if any, and interest, if any, on the debt securities shall be payable and the method of such payment, if by wire transfer, mail or other means, and the place or places where debt securities may be surrendered for registration of transfer or exchange and where notices or demands to or upon us relating to debt securities and the indenture may be served;</w:t>
      </w:r>
    </w:p>
    <w:p>
      <w:pPr>
        <w:spacing w:after="0" w:line="62"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period or periods within which, the price or prices at which and the terms and conditions upon which the debt securities of the series may be redeemed, in whole or in part, at our option;</w:t>
      </w:r>
    </w:p>
    <w:p>
      <w:pPr>
        <w:spacing w:after="0" w:line="50" w:lineRule="exact"/>
        <w:rPr>
          <w:rFonts w:ascii="Times New Roman" w:cs="Times New Roman" w:eastAsia="Times New Roman" w:hAnsi="Times New Roman"/>
          <w:sz w:val="14"/>
          <w:szCs w:val="14"/>
          <w:color w:val="auto"/>
        </w:rPr>
      </w:pPr>
    </w:p>
    <w:p>
      <w:pPr>
        <w:ind w:left="2080" w:right="239" w:hanging="337"/>
        <w:spacing w:after="0" w:line="264"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obligation, if any, by us to redeem or purchase the debt securities of the series pursuant to any sinking fund or analogous provisions or at the option of a holder thereof and the period or periods within which, the price or prices at which, the currency or currencies in which and the other terms and conditions upon which debt securities of the series shall be redeemed or purchased, in whole or in part, pursuant to such obligation;</w:t>
      </w:r>
    </w:p>
    <w:p>
      <w:pPr>
        <w:spacing w:after="0" w:line="65" w:lineRule="exact"/>
        <w:rPr>
          <w:rFonts w:ascii="Times New Roman" w:cs="Times New Roman" w:eastAsia="Times New Roman" w:hAnsi="Times New Roman"/>
          <w:sz w:val="14"/>
          <w:szCs w:val="14"/>
          <w:color w:val="auto"/>
        </w:rPr>
      </w:pPr>
    </w:p>
    <w:p>
      <w:pPr>
        <w:ind w:left="2080" w:right="439" w:hanging="337"/>
        <w:spacing w:after="0" w:line="286"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if any, on which and the price or prices at which the debt securities of the series will be repurchased by us at the option of the holders thereof and other detailed terms and provisions of such repurchase obligations;</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denominations of $1,000 and any integral multiple thereof, the denominations in which the debt securities shall be issuable;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forms of the debt securities of the series and whether the debt securities will be issuable as global securities;</w:t>
      </w:r>
    </w:p>
    <w:p>
      <w:pPr>
        <w:spacing w:after="0" w:line="104" w:lineRule="exact"/>
        <w:rPr>
          <w:rFonts w:ascii="Times New Roman" w:cs="Times New Roman" w:eastAsia="Times New Roman" w:hAnsi="Times New Roman"/>
          <w:sz w:val="14"/>
          <w:szCs w:val="14"/>
          <w:color w:val="auto"/>
        </w:rPr>
      </w:pPr>
    </w:p>
    <w:p>
      <w:pPr>
        <w:ind w:left="2080" w:right="259" w:hanging="337"/>
        <w:spacing w:after="0" w:line="286"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other than the principal amount thereof, the portion of the principal amount of the debt securities of the series that shall be payable upon declaration of acceleration of the maturity thereof pursuant to the indenture;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denomination of the debt securities of the series, which may be in U.S. dollars or any foreign currency;</w:t>
      </w:r>
    </w:p>
    <w:p>
      <w:pPr>
        <w:spacing w:after="0" w:line="104"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of the currency, currencies or currency units in which payment of the principal of, and premium, if any, and interest, if any, on, the debt securities of the series will be made;</w:t>
      </w:r>
    </w:p>
    <w:p>
      <w:pPr>
        <w:spacing w:after="0" w:line="50"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payments of principal of, and premium, if any, and interest, if any, on, the debt securities of the series are to be made in one or more currencies or currency units other than that or those in which such debt securities are denominated, the manner in which the exchange rate with respect to such payments will be determined;</w:t>
      </w:r>
    </w:p>
    <w:p>
      <w:pPr>
        <w:spacing w:after="0" w:line="62"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amounts of payment of principal of, premium, if any, or interest, if any, on the debt securities of the series will be determined, if such amounts may be determined by reference to an index based on a currency or currencies or by reference to a commodity, commodity index, stock exchange index or financial index;</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10159"/>
          </w:cols>
          <w:pgMar w:left="300" w:top="388" w:right="1440"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any security provided for the debt securities of the series or the guarantees, if any, thereof;</w:t>
      </w:r>
    </w:p>
    <w:p>
      <w:pPr>
        <w:spacing w:after="0" w:line="104" w:lineRule="exact"/>
        <w:rPr>
          <w:rFonts w:ascii="Times New Roman" w:cs="Times New Roman" w:eastAsia="Times New Roman" w:hAnsi="Times New Roman"/>
          <w:sz w:val="14"/>
          <w:szCs w:val="14"/>
          <w:color w:val="auto"/>
        </w:rPr>
      </w:pPr>
    </w:p>
    <w:p>
      <w:pPr>
        <w:jc w:val="both"/>
        <w:ind w:left="2080" w:right="199" w:hanging="337"/>
        <w:spacing w:after="0" w:line="286" w:lineRule="auto"/>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change in or deletion from the events of default that apply to any debt securities of the series and any change in the right of the trustee or the requisite holders of such debt securities to declare the principal amount thereof due and payable pursuant to the indenture;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addition to or change in the covenants described in this prospectus or in the indenture with respect to the debt securities of the series;</w:t>
      </w:r>
    </w:p>
    <w:p>
      <w:pPr>
        <w:spacing w:after="0" w:line="22" w:lineRule="exact"/>
        <w:rPr>
          <w:rFonts w:ascii="Times New Roman" w:cs="Times New Roman" w:eastAsia="Times New Roman" w:hAnsi="Times New Roman"/>
          <w:sz w:val="14"/>
          <w:szCs w:val="14"/>
          <w:color w:val="auto"/>
        </w:rPr>
      </w:pPr>
    </w:p>
    <w:p>
      <w:pPr>
        <w:ind w:left="2080" w:right="279" w:hanging="337"/>
        <w:spacing w:after="0" w:line="265" w:lineRule="auto"/>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depositaries, interest rate calculation agents, exchange rate calculation agents or other agents, if any, with respect to the debt securities of the series, if other than as described in this prospectus or the indenture;</w:t>
      </w:r>
    </w:p>
    <w:p>
      <w:pPr>
        <w:spacing w:after="0" w:line="64" w:lineRule="exact"/>
        <w:rPr>
          <w:rFonts w:ascii="Times New Roman" w:cs="Times New Roman" w:eastAsia="Times New Roman" w:hAnsi="Times New Roman"/>
          <w:sz w:val="14"/>
          <w:szCs w:val="14"/>
          <w:color w:val="auto"/>
        </w:rPr>
      </w:pPr>
    </w:p>
    <w:p>
      <w:pPr>
        <w:ind w:left="2080" w:right="279" w:hanging="337"/>
        <w:spacing w:after="0" w:line="264" w:lineRule="auto"/>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if any, relating to conversion of any debt securities of the series, including if applicable, the conversion price, the conversion period, the securities or other property into which such debt securities will be convertible, provisions as to whether conversion will be mandatory, at the option of the holders thereof or at our option, the events requiring an adjustment of the conversion price and provisions affecting conversion if such debt securities are redeemed;</w:t>
      </w:r>
    </w:p>
    <w:p>
      <w:pPr>
        <w:spacing w:after="0" w:line="65"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will be senior debt securities or subordinated debt securities and, if applicable, the subordination terms thereof;</w:t>
      </w:r>
    </w:p>
    <w:p>
      <w:pPr>
        <w:spacing w:after="0" w:line="50"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of the series are entitled to the benefits of a guarantee pursuant to the indenture, the terms of such guarantee and whether any such guarantee is made on a senior or subordinated basis and, if applicable, the subordination terms of any such guarantee;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additional material U.S. federal income tax consequences, if any, applicable to an investment in such debt securities; and</w:t>
      </w:r>
    </w:p>
    <w:p>
      <w:pPr>
        <w:spacing w:after="0" w:line="104" w:lineRule="exact"/>
        <w:rPr>
          <w:rFonts w:ascii="Times New Roman" w:cs="Times New Roman" w:eastAsia="Times New Roman" w:hAnsi="Times New Roman"/>
          <w:sz w:val="14"/>
          <w:szCs w:val="14"/>
          <w:color w:val="auto"/>
        </w:rPr>
      </w:pPr>
    </w:p>
    <w:p>
      <w:pPr>
        <w:ind w:left="2080" w:right="199" w:hanging="337"/>
        <w:spacing w:after="0" w:line="286" w:lineRule="auto"/>
        <w:tabs>
          <w:tab w:leader="none" w:pos="20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debt securities of the series (which terms may supplement, modify or delete any provision of the indenture insofar as it applies to such series) .</w:t>
      </w:r>
    </w:p>
    <w:p>
      <w:pPr>
        <w:spacing w:after="0" w:line="125" w:lineRule="exact"/>
        <w:rPr>
          <w:sz w:val="20"/>
          <w:szCs w:val="20"/>
          <w:color w:val="auto"/>
        </w:rPr>
      </w:pPr>
    </w:p>
    <w:p>
      <w:pPr>
        <w:ind w:left="1320" w:right="359"/>
        <w:spacing w:after="0" w:line="261" w:lineRule="auto"/>
        <w:rPr>
          <w:sz w:val="20"/>
          <w:szCs w:val="20"/>
          <w:color w:val="auto"/>
        </w:rPr>
      </w:pPr>
      <w:r>
        <w:rPr>
          <w:rFonts w:ascii="Times New Roman" w:cs="Times New Roman" w:eastAsia="Times New Roman" w:hAnsi="Times New Roman"/>
          <w:sz w:val="14"/>
          <w:szCs w:val="14"/>
          <w:color w:val="auto"/>
        </w:rPr>
        <w:t>In addition, the indenture does not limit our operating partnership’s ability to issue convertible or subordinated debt securities. Any conversion or subordination provisions of a particular series of debt securities will be set forth in the officer’s certificate or supplemental indenture related to that series of debt securities and will be described in the relevant prospectus supplement. Such terms may include provisions for conversion, either mandatory, at the option of the holder or at our option, in which case the number of shares of common stock, cash or other securities to be received by the holders of debt securities would be calculated as of a time and in the manner stated in the prospectus supplement.</w:t>
      </w:r>
    </w:p>
    <w:p>
      <w:pPr>
        <w:spacing w:after="0" w:line="142" w:lineRule="exact"/>
        <w:rPr>
          <w:sz w:val="20"/>
          <w:szCs w:val="20"/>
          <w:color w:val="auto"/>
        </w:rPr>
      </w:pPr>
    </w:p>
    <w:p>
      <w:pPr>
        <w:ind w:left="1320" w:right="279"/>
        <w:spacing w:after="0" w:line="269" w:lineRule="auto"/>
        <w:rPr>
          <w:sz w:val="20"/>
          <w:szCs w:val="20"/>
          <w:color w:val="auto"/>
        </w:rPr>
      </w:pPr>
      <w:r>
        <w:rPr>
          <w:rFonts w:ascii="Times New Roman" w:cs="Times New Roman" w:eastAsia="Times New Roman" w:hAnsi="Times New Roman"/>
          <w:sz w:val="14"/>
          <w:szCs w:val="14"/>
          <w:color w:val="auto"/>
        </w:rPr>
        <w:t>We may issue debt securities of our operating partnership that provide for an amount less than their stated principal amount to be due and payable upon declaration of acceleration of their maturity pursuant to the terms of the indenture. We will provide you with information on the other special considerations applicable to any such debt securities in the applicable prospectus supplement.</w:t>
      </w:r>
    </w:p>
    <w:p>
      <w:pPr>
        <w:spacing w:after="0" w:line="137"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If we denominate the purchase price of any of our operating partnership’s debt securities in a foreign currency or currencies or a foreign currency unit or units, or if the principal of and premium, if any, and interest, if any, on any series of debt securities is payable in a foreign currency or currencies or a foreign currency unit or units, we will provide you with information on the restrictions, elections, specific terms and other information with respect to that issue of debt securities and such foreign currency or currencies or foreign currency unit or units in the applicable prospectus supplement.</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 and Exchange</w:t>
      </w:r>
    </w:p>
    <w:p>
      <w:pPr>
        <w:spacing w:after="0" w:line="95" w:lineRule="exact"/>
        <w:rPr>
          <w:sz w:val="20"/>
          <w:szCs w:val="20"/>
          <w:color w:val="auto"/>
        </w:rPr>
      </w:pPr>
    </w:p>
    <w:p>
      <w:pPr>
        <w:ind w:left="1320" w:right="219"/>
        <w:spacing w:after="0" w:line="286" w:lineRule="auto"/>
        <w:rPr>
          <w:sz w:val="20"/>
          <w:szCs w:val="20"/>
          <w:color w:val="auto"/>
        </w:rPr>
      </w:pPr>
      <w:r>
        <w:rPr>
          <w:rFonts w:ascii="Times New Roman" w:cs="Times New Roman" w:eastAsia="Times New Roman" w:hAnsi="Times New Roman"/>
          <w:sz w:val="14"/>
          <w:szCs w:val="14"/>
          <w:color w:val="auto"/>
        </w:rPr>
        <w:t>Each debt security will be represented by either one or more global securities registered in the name of The Depository Trust Company, as depositary, or a nominee (we will refer to any debt security represented by a</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10159"/>
          </w:cols>
          <w:pgMar w:left="300" w:top="388"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59"/>
        <w:spacing w:after="0" w:line="269" w:lineRule="auto"/>
        <w:rPr>
          <w:sz w:val="20"/>
          <w:szCs w:val="20"/>
          <w:color w:val="auto"/>
        </w:rPr>
      </w:pPr>
      <w:r>
        <w:rPr>
          <w:rFonts w:ascii="Times New Roman" w:cs="Times New Roman" w:eastAsia="Times New Roman" w:hAnsi="Times New Roman"/>
          <w:sz w:val="14"/>
          <w:szCs w:val="14"/>
          <w:color w:val="auto"/>
        </w:rPr>
        <w:t>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Certificated Debt Securities</w:t>
      </w:r>
    </w:p>
    <w:p>
      <w:pPr>
        <w:spacing w:after="0" w:line="95" w:lineRule="exact"/>
        <w:rPr>
          <w:sz w:val="20"/>
          <w:szCs w:val="20"/>
          <w:color w:val="auto"/>
        </w:rPr>
      </w:pPr>
    </w:p>
    <w:p>
      <w:pPr>
        <w:ind w:left="1320" w:right="259"/>
        <w:spacing w:after="0" w:line="269" w:lineRule="auto"/>
        <w:rPr>
          <w:sz w:val="20"/>
          <w:szCs w:val="20"/>
          <w:color w:val="auto"/>
        </w:rPr>
      </w:pPr>
      <w:r>
        <w:rPr>
          <w:rFonts w:ascii="Times New Roman" w:cs="Times New Roman" w:eastAsia="Times New Roman" w:hAnsi="Times New Roman"/>
          <w:sz w:val="14"/>
          <w:szCs w:val="14"/>
          <w:color w:val="auto"/>
        </w:rPr>
        <w:t>You may transfer or exchange certificated debt securities at any office we designate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37" w:lineRule="exact"/>
        <w:rPr>
          <w:sz w:val="20"/>
          <w:szCs w:val="20"/>
          <w:color w:val="auto"/>
        </w:rPr>
      </w:pPr>
    </w:p>
    <w:p>
      <w:pPr>
        <w:ind w:left="1320" w:right="559"/>
        <w:spacing w:after="0" w:line="269" w:lineRule="auto"/>
        <w:rPr>
          <w:sz w:val="20"/>
          <w:szCs w:val="20"/>
          <w:color w:val="auto"/>
        </w:rPr>
      </w:pPr>
      <w:r>
        <w:rPr>
          <w:rFonts w:ascii="Times New Roman" w:cs="Times New Roman" w:eastAsia="Times New Roman" w:hAnsi="Times New Roman"/>
          <w:sz w:val="14"/>
          <w:szCs w:val="14"/>
          <w:color w:val="auto"/>
        </w:rPr>
        <w:t>You may effect the transfer of certificated debt securities and the right to receive the principal of, and premium and interest on, certificated debt securities only by surrendering the certificate representing those certificated debt securities and either reissuance by us of the certificate to the new holder or the issuance by us of a new certificate to the new holder.</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Global Debt Securities and Book-Entry System</w:t>
      </w:r>
    </w:p>
    <w:p>
      <w:pPr>
        <w:spacing w:after="0" w:line="95" w:lineRule="exact"/>
        <w:rPr>
          <w:sz w:val="20"/>
          <w:szCs w:val="20"/>
          <w:color w:val="auto"/>
        </w:rPr>
      </w:pPr>
    </w:p>
    <w:p>
      <w:pPr>
        <w:ind w:left="1320" w:right="199"/>
        <w:spacing w:after="0" w:line="286" w:lineRule="auto"/>
        <w:rPr>
          <w:sz w:val="20"/>
          <w:szCs w:val="20"/>
          <w:color w:val="auto"/>
        </w:rPr>
      </w:pPr>
      <w:r>
        <w:rPr>
          <w:rFonts w:ascii="Times New Roman" w:cs="Times New Roman" w:eastAsia="Times New Roman" w:hAnsi="Times New Roman"/>
          <w:sz w:val="14"/>
          <w:szCs w:val="14"/>
          <w:color w:val="auto"/>
        </w:rPr>
        <w:t>Each global debt security representing book-entry debt securities will be deposited with, or on behalf of, the depositary, and registered in the name of the depositary or a nominee of the depositary.</w:t>
      </w:r>
    </w:p>
    <w:p>
      <w:pPr>
        <w:spacing w:after="0" w:line="1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will require the depositary to agree to follow the following procedures with respect to book-entry debt securities.</w:t>
      </w:r>
    </w:p>
    <w:p>
      <w:pPr>
        <w:spacing w:after="0" w:line="178" w:lineRule="exact"/>
        <w:rPr>
          <w:sz w:val="20"/>
          <w:szCs w:val="20"/>
          <w:color w:val="auto"/>
        </w:rPr>
      </w:pPr>
    </w:p>
    <w:p>
      <w:pPr>
        <w:ind w:left="1320" w:right="259"/>
        <w:spacing w:after="0" w:line="257" w:lineRule="auto"/>
        <w:rPr>
          <w:sz w:val="20"/>
          <w:szCs w:val="20"/>
          <w:color w:val="auto"/>
        </w:rPr>
      </w:pPr>
      <w:r>
        <w:rPr>
          <w:rFonts w:ascii="Times New Roman" w:cs="Times New Roman" w:eastAsia="Times New Roman" w:hAnsi="Times New Roman"/>
          <w:sz w:val="14"/>
          <w:szCs w:val="14"/>
          <w:color w:val="auto"/>
        </w:rPr>
        <w:t>Ownership of beneficial interests in book-entry debt securities will be limited to persons who have accounts with the depositary for the related global debt security, which we refer to as participants, or persons who may hold interests through participants. Upon the issuance of a global debt security, the depositary will credit, on its book-entry registration and transfer system, the participants’ accounts with the respective principal amounts of the book-entry debt securities represented by such global debt security beneficially owned by such participants. The accounts to be credited will be designated by any dealers, underwriters or agents participating in the distribution of the book-entry debt securities. Ownership of book-entry debt securities will be shown on, and the transfer of such ownership interests will be effected only through, records maintained by the depositary for the related global debt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These laws may impair the ability to own, transfer or pledge beneficial interests in book-entry debt securities.</w:t>
      </w:r>
    </w:p>
    <w:p>
      <w:pPr>
        <w:spacing w:after="0" w:line="145"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So long as the depositary for a global debt security, or its nominee, is the registered owner of that global debt security, the depositary or its nominee, as the case may be, will be considered the sole owner or holder of the book-entry debt securities represented by such global debt security for all purposes under the indenture. Except as described below, beneficial owners of book-entry debt securities will not be entitled to have securities registered in their names, will not receive or be entitled to receive physical delivery of a certificate in definitive form representing securities and will not be considered the owners or holders of those securities under the indenture. Accordingly, each person beneficially owning book-entry debt securities must rely on the procedures of the depositary for the related global debt security and, if such person is not a participant, on the procedures of the participant through which such person owns its interest, to exercise any rights of a holder under the indenture.</w:t>
      </w:r>
    </w:p>
    <w:p>
      <w:pPr>
        <w:spacing w:after="0" w:line="145"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We understand, however, that under existing industry practice, the depositary will authorize the persons on whose behalf it holds a global debt security to exercise certain rights of holders of debt securities, and the indenture provides that we, the trustee and our respective agents will treat as the holder of a debt security the persons specified in a written statement of the depositary with respect to that global debt security for purposes of obtaining any consents or directions required to be given by holders of the debt securities pursuant to the indenture.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10159"/>
          </w:cols>
          <w:pgMar w:left="300" w:top="388" w:right="1440"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We will make payments of principal of, and premium and interest on, book-entry debt securities to the depositary or its nominee, as the case may be, as the registered holder of the related global debt security. We, the trustee and any other agent of ours or agent of the trustee will not have any responsibility or liability for any aspect of the records relating to or payments made on account of beneficial ownership interests in a global debt security or for maintaining, supervising or reviewing any records relating to beneficial ownership interests.</w:t>
      </w:r>
    </w:p>
    <w:p>
      <w:pPr>
        <w:spacing w:after="0" w:line="140"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We expect that the depositary, upon receipt of any payment of principal of, and premium or interest on, a global debt security, will immediately credit participants’ accounts with payments in amounts proportionate to the respective amounts of book-entry debt securities held by each participant as shown on the records of such depositary. We also expect that payments by participants to owners of beneficial interests in book-entry debt securities held through those participants will be governed by standing customer instructions and customary practices, as is now the case with the securities held for the accounts of customers registered in “street name,” and will be the responsibility of those participants.</w:t>
      </w:r>
    </w:p>
    <w:p>
      <w:pPr>
        <w:spacing w:after="0" w:line="142"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We will issue certificated debt securities in exchange for each global debt security if the depositary is at any time unwilling or unable to continue as depositary or ceases to be a clearing agency registered under the Exchange Act and a successor depositary registered as a clearing agency under the Exchange Act is not appointed by us within 90 days. In addition, we may at any time and in our sole discretion determine not to have the book-entry debt securities of any series represented by one or more global debt securities and, in that event, will issue certificated debt securities in exchange for the global debt securities of that series. Any certificated debt securities issued in exchange for a global debt security will be registered in such name or names as the depositary shall instruct the trustee. We expect that such instructions will be based upon directions received by the depositary from participants with respect to ownership of book-entry debt securities relating to such global debt security.</w:t>
      </w:r>
    </w:p>
    <w:p>
      <w:pPr>
        <w:spacing w:after="0" w:line="145" w:lineRule="exact"/>
        <w:rPr>
          <w:sz w:val="20"/>
          <w:szCs w:val="20"/>
          <w:color w:val="auto"/>
        </w:rPr>
      </w:pPr>
    </w:p>
    <w:p>
      <w:pPr>
        <w:ind w:left="1320" w:right="379"/>
        <w:spacing w:after="0" w:line="286" w:lineRule="auto"/>
        <w:rPr>
          <w:sz w:val="20"/>
          <w:szCs w:val="20"/>
          <w:color w:val="auto"/>
        </w:rPr>
      </w:pPr>
      <w:r>
        <w:rPr>
          <w:rFonts w:ascii="Times New Roman" w:cs="Times New Roman" w:eastAsia="Times New Roman" w:hAnsi="Times New Roman"/>
          <w:sz w:val="14"/>
          <w:szCs w:val="14"/>
          <w:color w:val="auto"/>
        </w:rPr>
        <w:t>We have obtained the foregoing information concerning the depositary and the depositary’s book-entry system from sources we believe to be reliable, but we take no responsibility for the accuracy of this information.</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No Protection in the Event of a Change of Control</w:t>
      </w:r>
    </w:p>
    <w:p>
      <w:pPr>
        <w:spacing w:after="0" w:line="95" w:lineRule="exact"/>
        <w:rPr>
          <w:sz w:val="20"/>
          <w:szCs w:val="20"/>
          <w:color w:val="auto"/>
        </w:rPr>
      </w:pPr>
    </w:p>
    <w:p>
      <w:pPr>
        <w:jc w:val="both"/>
        <w:ind w:left="1320" w:right="219"/>
        <w:spacing w:after="0" w:line="269" w:lineRule="auto"/>
        <w:rPr>
          <w:sz w:val="20"/>
          <w:szCs w:val="20"/>
          <w:color w:val="auto"/>
        </w:rPr>
      </w:pPr>
      <w:r>
        <w:rPr>
          <w:rFonts w:ascii="Times New Roman" w:cs="Times New Roman" w:eastAsia="Times New Roman" w:hAnsi="Times New Roman"/>
          <w:sz w:val="14"/>
          <w:szCs w:val="14"/>
          <w:color w:val="auto"/>
        </w:rPr>
        <w:t>Unless we state otherwise in the applicable prospectus supplement, the debt securities will not contain any provisions that may afford holders of the debt securities protection in the event we have a change in control or in the event of a highly leveraged transaction (whether or not such transaction results in a change in control) that could adversely affect holders of debt securities.</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Covenants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will set forth in the applicable prospectus supplement any restrictive covenants applicable to any issue of debt securities.</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Consolidation, Merger and Sale of Assets</w:t>
      </w:r>
    </w:p>
    <w:p>
      <w:pPr>
        <w:spacing w:after="0" w:line="95"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Digital Realty Trust, L.P. and Digital Realty Trust, Inc. may consolidate with, or sell, lease or convey all or substantially all of their respective assets to, or merge with or into, any other entity, provided that the following conditions are met:</w:t>
      </w:r>
    </w:p>
    <w:p>
      <w:pPr>
        <w:spacing w:after="0" w:line="51" w:lineRule="exact"/>
        <w:rPr>
          <w:sz w:val="20"/>
          <w:szCs w:val="20"/>
          <w:color w:val="auto"/>
        </w:rPr>
      </w:pPr>
    </w:p>
    <w:p>
      <w:pPr>
        <w:ind w:left="2080" w:right="219" w:hanging="337"/>
        <w:spacing w:after="0" w:line="264" w:lineRule="auto"/>
        <w:tabs>
          <w:tab w:leader="none" w:pos="20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Realty Trust, L.P. or Digital Realty Trust, Inc., as the case may be, shall be the continuing entity, or the successor entity (if other than Digital Realty Trust, L.P. or Digital Realty Trust, Inc., as the case may be) formed by or resulting from any consolidation or merger or which shall have received the transfer of assets shall expressly assume payment of the principal of and interest on all of the debt securities and the due and punctual performance and observance of all of the covenants and conditions in the indenture;</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10159"/>
          </w:cols>
          <w:pgMar w:left="300" w:top="388" w:right="1440"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279" w:hanging="337"/>
        <w:spacing w:after="0" w:line="286" w:lineRule="auto"/>
        <w:tabs>
          <w:tab w:leader="none" w:pos="20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immediately after giving effect to the transaction, no Event of Default under the indenture, and no event which, after notice or the lapse of time, or both, would become an Event of Default, shall have occurred and be continuing; and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officer’s certificate and legal opinion covering these conditions shall be delivered to the trustee.</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Guarantees</w:t>
      </w:r>
    </w:p>
    <w:p>
      <w:pPr>
        <w:spacing w:after="0" w:line="95" w:lineRule="exact"/>
        <w:rPr>
          <w:sz w:val="20"/>
          <w:szCs w:val="20"/>
          <w:color w:val="auto"/>
        </w:rPr>
      </w:pPr>
    </w:p>
    <w:p>
      <w:pPr>
        <w:ind w:left="1320" w:right="299"/>
        <w:spacing w:after="0" w:line="259" w:lineRule="auto"/>
        <w:rPr>
          <w:sz w:val="20"/>
          <w:szCs w:val="20"/>
          <w:color w:val="auto"/>
        </w:rPr>
      </w:pPr>
      <w:r>
        <w:rPr>
          <w:rFonts w:ascii="Times New Roman" w:cs="Times New Roman" w:eastAsia="Times New Roman" w:hAnsi="Times New Roman"/>
          <w:sz w:val="14"/>
          <w:szCs w:val="14"/>
          <w:color w:val="auto"/>
        </w:rPr>
        <w:t>Debt securities issued by Digital Realty Trust, L.P. will be fully and unconditionally guaranteed by Digital Realty Trust, Inc. The applicable prospectus supplement relating to a series of debt securities will provide that those debt securities will have the benefit of a guarantee by Digital Realty Trust, Inc. These guarantees will be joint and several obligations of the guarantor. If a series of debt securities is so guaranteed, an indenture, or a supplemental indenture thereto, will be executed by the guarantor. The obligations of the guarantor under the guarantee will be limited as necessary to prevent that guarantee from constituting a fraudulent conveyance under applicable law. The terms of the guarantee will be set forth in the applicable prospectus supplement.</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Events of Default</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Event of default means, with respect to any series of debt securities, any of the following:</w:t>
      </w:r>
    </w:p>
    <w:p>
      <w:pPr>
        <w:spacing w:after="0" w:line="104" w:lineRule="exact"/>
        <w:rPr>
          <w:sz w:val="20"/>
          <w:szCs w:val="20"/>
          <w:color w:val="auto"/>
        </w:rPr>
      </w:pPr>
    </w:p>
    <w:p>
      <w:pPr>
        <w:ind w:left="2080" w:right="319" w:hanging="337"/>
        <w:spacing w:after="0" w:line="269" w:lineRule="auto"/>
        <w:tabs>
          <w:tab w:leader="none" w:pos="2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any interest upon any debt security of that series when it becomes due and payable, and continuance of that default for a period of 30 days (unless the entire amount of the payment is deposited by us with the trustee or with a paying agent prior to the expiration of the 30-day period);</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payment of principal of or premium on any debt security of that series when due and payable;</w:t>
      </w:r>
    </w:p>
    <w:p>
      <w:pPr>
        <w:spacing w:after="0" w:line="104" w:lineRule="exact"/>
        <w:rPr>
          <w:rFonts w:ascii="Times New Roman" w:cs="Times New Roman" w:eastAsia="Times New Roman" w:hAnsi="Times New Roman"/>
          <w:sz w:val="14"/>
          <w:szCs w:val="14"/>
          <w:color w:val="auto"/>
        </w:rPr>
      </w:pPr>
    </w:p>
    <w:p>
      <w:pPr>
        <w:ind w:left="2080" w:right="319" w:hanging="337"/>
        <w:spacing w:after="0" w:line="261" w:lineRule="auto"/>
        <w:tabs>
          <w:tab w:leader="none" w:pos="2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of such default from the trustee or we and the trustee receive written notice of such default from the holders of not less than a majority in principal amount of the outstanding debt securities of that series as provided in the indenture;</w:t>
      </w:r>
    </w:p>
    <w:p>
      <w:pPr>
        <w:spacing w:after="0" w:line="68"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events of bankruptcy, insolvency or reorganization of our company; and</w:t>
      </w:r>
    </w:p>
    <w:p>
      <w:pPr>
        <w:spacing w:after="0" w:line="104"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event of default provided with respect to debt securities of that series that is described in the applicable prospectus supplement accompanying this prospectus.</w:t>
      </w:r>
    </w:p>
    <w:p>
      <w:pPr>
        <w:spacing w:after="0" w:line="125" w:lineRule="exact"/>
        <w:rPr>
          <w:sz w:val="20"/>
          <w:szCs w:val="20"/>
          <w:color w:val="auto"/>
        </w:rPr>
      </w:pPr>
    </w:p>
    <w:p>
      <w:pPr>
        <w:ind w:left="1320" w:right="479"/>
        <w:spacing w:after="0" w:line="264" w:lineRule="auto"/>
        <w:rPr>
          <w:sz w:val="20"/>
          <w:szCs w:val="20"/>
          <w:color w:val="auto"/>
        </w:rPr>
      </w:pPr>
      <w:r>
        <w:rPr>
          <w:rFonts w:ascii="Times New Roman" w:cs="Times New Roman" w:eastAsia="Times New Roman" w:hAnsi="Times New Roman"/>
          <w:sz w:val="14"/>
          <w:szCs w:val="14"/>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w:t>
      </w:r>
    </w:p>
    <w:p>
      <w:pPr>
        <w:spacing w:after="0" w:line="140" w:lineRule="exact"/>
        <w:rPr>
          <w:sz w:val="20"/>
          <w:szCs w:val="20"/>
          <w:color w:val="auto"/>
        </w:rPr>
      </w:pPr>
    </w:p>
    <w:p>
      <w:pPr>
        <w:ind w:left="1320" w:right="279"/>
        <w:spacing w:after="0" w:line="259"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at the time outstanding occurs and is continuing, then the trustee or the holders of not less than 25% of the principal amount of the outstanding debt securities of that series may, by a notice in writing to us (and to the trustee if given by the holders), declare to be due and payable immediately the principal (or, if the debt securities of that series are discount securities, that portion of the principal amount as may be specified in the terms of that series) of, and accrued and unpaid interest, if any, on all debt securities of that series. In the case of an event of default resulting from certain events of bankruptcy, insolvency or reorganization, the principal (or such specified amount) of and accrued and unpaid interest, if any,</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10159"/>
          </w:cols>
          <w:pgMar w:left="300" w:top="388" w:right="1440"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99"/>
        <w:spacing w:after="0" w:line="258" w:lineRule="auto"/>
        <w:rPr>
          <w:sz w:val="20"/>
          <w:szCs w:val="20"/>
          <w:color w:val="auto"/>
        </w:rPr>
      </w:pPr>
      <w:r>
        <w:rPr>
          <w:rFonts w:ascii="Times New Roman" w:cs="Times New Roman" w:eastAsia="Times New Roman" w:hAnsi="Times New Roman"/>
          <w:sz w:val="14"/>
          <w:szCs w:val="14"/>
          <w:color w:val="auto"/>
        </w:rPr>
        <w:t>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45"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indenture provides that the trustee will be under no obligation to exercise any of its rights or powers under the indenture at the request of any holder of outstanding debt securities, unless the trustee receives indemnity satisfactory to it against any loss, liability or expense.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42" w:lineRule="exact"/>
        <w:rPr>
          <w:sz w:val="20"/>
          <w:szCs w:val="20"/>
          <w:color w:val="auto"/>
        </w:rPr>
      </w:pPr>
    </w:p>
    <w:p>
      <w:pPr>
        <w:ind w:left="1320" w:right="259"/>
        <w:spacing w:after="0" w:line="286" w:lineRule="auto"/>
        <w:rPr>
          <w:sz w:val="20"/>
          <w:szCs w:val="20"/>
          <w:color w:val="auto"/>
        </w:rPr>
      </w:pPr>
      <w:r>
        <w:rPr>
          <w:rFonts w:ascii="Times New Roman" w:cs="Times New Roman" w:eastAsia="Times New Roman" w:hAnsi="Times New Roman"/>
          <w:sz w:val="14"/>
          <w:szCs w:val="14"/>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51" w:lineRule="exact"/>
        <w:rPr>
          <w:sz w:val="20"/>
          <w:szCs w:val="20"/>
          <w:color w:val="auto"/>
        </w:rPr>
      </w:pPr>
    </w:p>
    <w:p>
      <w:pPr>
        <w:ind w:left="2080" w:right="359" w:hanging="337"/>
        <w:spacing w:after="0" w:line="286" w:lineRule="auto"/>
        <w:tabs>
          <w:tab w:leader="none" w:pos="2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holder has previously given to the trustee written notice of a continuing event of default with respect to debt securities of that series, and</w:t>
      </w:r>
    </w:p>
    <w:p>
      <w:pPr>
        <w:spacing w:after="0" w:line="50" w:lineRule="exact"/>
        <w:rPr>
          <w:rFonts w:ascii="Times New Roman" w:cs="Times New Roman" w:eastAsia="Times New Roman" w:hAnsi="Times New Roman"/>
          <w:sz w:val="14"/>
          <w:szCs w:val="14"/>
          <w:color w:val="auto"/>
        </w:rPr>
      </w:pPr>
    </w:p>
    <w:p>
      <w:pPr>
        <w:ind w:left="2080" w:right="219" w:hanging="337"/>
        <w:spacing w:after="0" w:line="264" w:lineRule="auto"/>
        <w:tabs>
          <w:tab w:leader="none" w:pos="20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a majority in principal amount of the outstanding debt securities of that series have made written request, and offered reasonable indemnity, to the trustee to institute the proceeding as trustee, and the trustee has not received from the holders of a majority in principal amount of the outstanding debt securities of that series a direction inconsistent with that request and has failed to institute the proceeding within 60 days.</w:t>
      </w:r>
    </w:p>
    <w:p>
      <w:pPr>
        <w:spacing w:after="0" w:line="140" w:lineRule="exact"/>
        <w:rPr>
          <w:sz w:val="20"/>
          <w:szCs w:val="20"/>
          <w:color w:val="auto"/>
        </w:rPr>
      </w:pPr>
    </w:p>
    <w:p>
      <w:pPr>
        <w:ind w:left="1320" w:right="539"/>
        <w:spacing w:after="0" w:line="269" w:lineRule="auto"/>
        <w:rPr>
          <w:sz w:val="20"/>
          <w:szCs w:val="20"/>
          <w:color w:val="auto"/>
        </w:rPr>
      </w:pPr>
      <w:r>
        <w:rPr>
          <w:rFonts w:ascii="Times New Roman" w:cs="Times New Roman" w:eastAsia="Times New Roman" w:hAnsi="Times New Roman"/>
          <w:sz w:val="14"/>
          <w:szCs w:val="14"/>
          <w:color w:val="auto"/>
        </w:rPr>
        <w:t>Notwithstanding the foregoing,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37" w:lineRule="exact"/>
        <w:rPr>
          <w:sz w:val="20"/>
          <w:szCs w:val="20"/>
          <w:color w:val="auto"/>
        </w:rPr>
      </w:pPr>
    </w:p>
    <w:p>
      <w:pPr>
        <w:ind w:left="1320" w:right="299"/>
        <w:spacing w:after="0" w:line="264" w:lineRule="auto"/>
        <w:rPr>
          <w:sz w:val="20"/>
          <w:szCs w:val="20"/>
          <w:color w:val="auto"/>
        </w:rPr>
      </w:pPr>
      <w:r>
        <w:rPr>
          <w:rFonts w:ascii="Times New Roman" w:cs="Times New Roman" w:eastAsia="Times New Roman" w:hAnsi="Times New Roman"/>
          <w:sz w:val="14"/>
          <w:szCs w:val="14"/>
          <w:color w:val="auto"/>
        </w:rPr>
        <w:t>The indenture requires us, within 120 days after the end of our fiscal year, to furnish to the trustee a statement as to compliance with the indenture. The indenture provides that the trustee may withhold notice to the holders of debt securities of any series of any default or event of default (except in payment on any debt securities of that series) with respect to debt securities of that series if it in good faith determines that withholding notice is in the interest of the holders of those debt securities.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Modification and Waiver</w:t>
      </w:r>
    </w:p>
    <w:p>
      <w:pPr>
        <w:spacing w:after="0" w:line="95" w:lineRule="exact"/>
        <w:rPr>
          <w:sz w:val="20"/>
          <w:szCs w:val="20"/>
          <w:color w:val="auto"/>
        </w:rPr>
      </w:pPr>
    </w:p>
    <w:p>
      <w:pPr>
        <w:jc w:val="both"/>
        <w:ind w:left="1320" w:right="299"/>
        <w:spacing w:after="0" w:line="269" w:lineRule="auto"/>
        <w:rPr>
          <w:sz w:val="20"/>
          <w:szCs w:val="20"/>
          <w:color w:val="auto"/>
        </w:rPr>
      </w:pPr>
      <w:r>
        <w:rPr>
          <w:rFonts w:ascii="Times New Roman" w:cs="Times New Roman" w:eastAsia="Times New Roman" w:hAnsi="Times New Roman"/>
          <w:sz w:val="14"/>
          <w:szCs w:val="14"/>
          <w:color w:val="auto"/>
        </w:rPr>
        <w:t>We may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63" w:lineRule="exact"/>
        <w:rPr>
          <w:sz w:val="20"/>
          <w:szCs w:val="20"/>
          <w:color w:val="auto"/>
        </w:rPr>
      </w:pPr>
    </w:p>
    <w:p>
      <w:pPr>
        <w:ind w:left="2080" w:hanging="337"/>
        <w:spacing w:after="0"/>
        <w:tabs>
          <w:tab w:leader="none" w:pos="2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amount of debt securities whose holders must consent to an amendment or waiver,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rate of or extend the time for payment of interest (including default interest) on any debt security,</w:t>
      </w:r>
    </w:p>
    <w:p>
      <w:pPr>
        <w:spacing w:after="0" w:line="104"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10159"/>
          </w:cols>
          <w:pgMar w:left="300" w:top="388"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hanging="337"/>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principal amount of discount securities payable upon acceleration of maturity,</w:t>
      </w:r>
    </w:p>
    <w:p>
      <w:pPr>
        <w:spacing w:after="0" w:line="104" w:lineRule="exact"/>
        <w:rPr>
          <w:rFonts w:ascii="Times New Roman" w:cs="Times New Roman" w:eastAsia="Times New Roman" w:hAnsi="Times New Roman"/>
          <w:sz w:val="14"/>
          <w:szCs w:val="14"/>
          <w:color w:val="auto"/>
        </w:rPr>
      </w:pPr>
    </w:p>
    <w:p>
      <w:pPr>
        <w:jc w:val="both"/>
        <w:ind w:left="2080" w:right="419" w:hanging="337"/>
        <w:spacing w:after="0" w:line="269" w:lineRule="auto"/>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default in the payment of the principal of or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the principal of or premium or interest on any debt security payable in currency other than that stated in the debt security,</w:t>
      </w:r>
    </w:p>
    <w:p>
      <w:pPr>
        <w:spacing w:after="0" w:line="104" w:lineRule="exact"/>
        <w:rPr>
          <w:rFonts w:ascii="Times New Roman" w:cs="Times New Roman" w:eastAsia="Times New Roman" w:hAnsi="Times New Roman"/>
          <w:sz w:val="14"/>
          <w:szCs w:val="14"/>
          <w:color w:val="auto"/>
        </w:rPr>
      </w:pPr>
    </w:p>
    <w:p>
      <w:pPr>
        <w:ind w:left="2080" w:right="239" w:hanging="337"/>
        <w:spacing w:after="0" w:line="269" w:lineRule="auto"/>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change to certain provisions of the indenture relating to, among other things, the right of holders of debt securities to receive payment of the principal of and premium and interest on those debt securities and to institute suit for the enforcement of any such payment and to waivers or amendments, or</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waive a redemption payment with respect to any debt security.</w:t>
      </w:r>
    </w:p>
    <w:p>
      <w:pPr>
        <w:spacing w:after="0" w:line="178"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 xml:space="preserve">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premium or any interest on, any debt security of that series;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xml:space="preserve"> that the holders of a majority in principal amount of the outstanding debt securities of any series may rescind an acceleration and its consequences, including any related payment default that resulted from the acceleration.</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Defeasance of Debt Securities and Certain Covenants in Certain Circumstances</w:t>
      </w:r>
    </w:p>
    <w:p>
      <w:pPr>
        <w:spacing w:after="0" w:line="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Legal Defeasance</w:t>
      </w:r>
    </w:p>
    <w:p>
      <w:pPr>
        <w:spacing w:after="0" w:line="95"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we may be discharged from any and all obligations in respect of the debt securities of any series (except for certain obligations to register the transfer or exchange of debt securities of such series, to replace stolen, lost or mutilated debt securities of such series, and to maintain paying agencies and certain provisions relating to the treatment of funds held by paying agents). We will be so discharged upon the deposit with the trustee, in trust, of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317"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This discharge may occur only if, among other things, we have delivered to the trustee an opinion of counsel stating that we have received from, or there has been published by, the United States Internal Revenue Service, or IRS, a ruling or, since the date of execution of the indenture, there has been a change in the applicable U.S. federal income tax law, in either case to the effect that, and based thereon such opinion shall confirm that, the holders of the outstanding debt securities of that series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10159"/>
          </w:cols>
          <w:pgMar w:left="300" w:top="388"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Defeasance of Certain Covenants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indenture provides that, unless otherwise provided by the terms of the applicable series of debt securities, upon compliance with certain conditions:</w:t>
      </w:r>
    </w:p>
    <w:p>
      <w:pPr>
        <w:spacing w:after="0" w:line="104" w:lineRule="exact"/>
        <w:rPr>
          <w:sz w:val="20"/>
          <w:szCs w:val="20"/>
          <w:color w:val="auto"/>
        </w:rPr>
      </w:pPr>
    </w:p>
    <w:p>
      <w:pPr>
        <w:ind w:left="2080" w:right="259" w:hanging="337"/>
        <w:spacing w:after="0" w:line="286" w:lineRule="auto"/>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omit to comply with the covenant described under the heading “Consolidation, Merger and Sale of Assets” and certain other covenants set forth in the indenture, as well as any additional covenants that may be set forth in the applicable prospectus supplement, and</w:t>
      </w:r>
    </w:p>
    <w:p>
      <w:pPr>
        <w:spacing w:after="0" w:line="50" w:lineRule="exact"/>
        <w:rPr>
          <w:rFonts w:ascii="Times New Roman" w:cs="Times New Roman" w:eastAsia="Times New Roman" w:hAnsi="Times New Roman"/>
          <w:sz w:val="14"/>
          <w:szCs w:val="14"/>
          <w:color w:val="auto"/>
        </w:rPr>
      </w:pPr>
    </w:p>
    <w:p>
      <w:pPr>
        <w:ind w:left="2080" w:right="359" w:hanging="337"/>
        <w:spacing w:after="0" w:line="286" w:lineRule="auto"/>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omission to comply with those covenants will not constitute a default or an event of default with respect to the debt securities of that series, or covenant defeasance.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conditions include:</w:t>
      </w:r>
    </w:p>
    <w:p>
      <w:pPr>
        <w:spacing w:after="0" w:line="104" w:lineRule="exact"/>
        <w:rPr>
          <w:rFonts w:ascii="Times New Roman" w:cs="Times New Roman" w:eastAsia="Times New Roman" w:hAnsi="Times New Roman"/>
          <w:sz w:val="14"/>
          <w:szCs w:val="14"/>
          <w:color w:val="auto"/>
        </w:rPr>
      </w:pPr>
    </w:p>
    <w:p>
      <w:pPr>
        <w:ind w:left="2080" w:right="259" w:hanging="337"/>
        <w:spacing w:after="0" w:line="259" w:lineRule="auto"/>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depositing with the trustee money and/or U.S. government obligations or, in the case of debt securities denominated in a single currency other than U.S. dollars, foreign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0" w:lineRule="exact"/>
        <w:rPr>
          <w:rFonts w:ascii="Times New Roman" w:cs="Times New Roman" w:eastAsia="Times New Roman" w:hAnsi="Times New Roman"/>
          <w:sz w:val="14"/>
          <w:szCs w:val="14"/>
          <w:color w:val="auto"/>
        </w:rPr>
      </w:pPr>
    </w:p>
    <w:p>
      <w:pPr>
        <w:ind w:left="2080" w:right="359" w:hanging="337"/>
        <w:spacing w:after="0" w:line="264" w:lineRule="auto"/>
        <w:tabs>
          <w:tab w:leader="none" w:pos="20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to the trustee an opinion of counsel to the effect that the holders of the debt securities of that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Covenant Defeasance and Events of Default</w:t>
      </w:r>
    </w:p>
    <w:p>
      <w:pPr>
        <w:spacing w:after="0" w:line="95" w:lineRule="exact"/>
        <w:rPr>
          <w:sz w:val="20"/>
          <w:szCs w:val="20"/>
          <w:color w:val="auto"/>
        </w:rPr>
      </w:pPr>
    </w:p>
    <w:p>
      <w:pPr>
        <w:ind w:left="1320" w:right="419"/>
        <w:spacing w:after="0" w:line="261" w:lineRule="auto"/>
        <w:rPr>
          <w:sz w:val="20"/>
          <w:szCs w:val="20"/>
          <w:color w:val="auto"/>
        </w:rPr>
      </w:pPr>
      <w:r>
        <w:rPr>
          <w:rFonts w:ascii="Times New Roman" w:cs="Times New Roman" w:eastAsia="Times New Roman" w:hAnsi="Times New Roman"/>
          <w:sz w:val="14"/>
          <w:szCs w:val="14"/>
          <w:color w:val="auto"/>
        </w:rPr>
        <w:t>In the event we exercise our option to effect covenant defeasance with respect to any series of debt securities and the debt securities of that series are declared due and payable because of the occurrence of any event of default, the amount of money and/or U.S. government obligations or foreign government obligations on deposit with the trustee will be sufficient to pay amounts due on the debt securities of that series at the time of their stated maturity but may not be sufficient to pay amounts due on the debt securities of that series at the time of the acceleration resulting from the event of default. In such a case, we would remain liable for those payments.</w:t>
      </w:r>
    </w:p>
    <w:p>
      <w:pPr>
        <w:spacing w:after="0" w:line="14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i w:val="1"/>
          <w:iCs w:val="1"/>
          <w:color w:val="auto"/>
        </w:rPr>
        <w:t xml:space="preserve">“Foreign Government Obligations” </w:t>
      </w:r>
      <w:r>
        <w:rPr>
          <w:rFonts w:ascii="Times New Roman" w:cs="Times New Roman" w:eastAsia="Times New Roman" w:hAnsi="Times New Roman"/>
          <w:sz w:val="14"/>
          <w:szCs w:val="14"/>
          <w:color w:val="auto"/>
        </w:rPr>
        <w:t>means, with respect to debt securities of any series that are denominated in a currency other than U.S. dollars:</w:t>
      </w:r>
    </w:p>
    <w:p>
      <w:pPr>
        <w:spacing w:after="0" w:line="106" w:lineRule="exact"/>
        <w:rPr>
          <w:sz w:val="20"/>
          <w:szCs w:val="20"/>
          <w:color w:val="auto"/>
        </w:rPr>
      </w:pPr>
    </w:p>
    <w:p>
      <w:pPr>
        <w:ind w:left="2080" w:right="219" w:hanging="337"/>
        <w:spacing w:after="0" w:line="286" w:lineRule="auto"/>
        <w:tabs>
          <w:tab w:leader="none" w:pos="20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 obligations of the government that issued or caused to be issued such currency for the payment of which obligations its full faith and credit is pledged which are not callable or redeemable at the option of the issuer thereof, or</w:t>
      </w:r>
    </w:p>
    <w:p>
      <w:pPr>
        <w:spacing w:after="0" w:line="50" w:lineRule="exact"/>
        <w:rPr>
          <w:rFonts w:ascii="Times New Roman" w:cs="Times New Roman" w:eastAsia="Times New Roman" w:hAnsi="Times New Roman"/>
          <w:sz w:val="14"/>
          <w:szCs w:val="14"/>
          <w:color w:val="auto"/>
        </w:rPr>
      </w:pPr>
    </w:p>
    <w:p>
      <w:pPr>
        <w:jc w:val="both"/>
        <w:ind w:left="2080" w:right="439" w:hanging="337"/>
        <w:spacing w:after="0" w:line="269" w:lineRule="auto"/>
        <w:tabs>
          <w:tab w:leader="none" w:pos="20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of a person controlled or supervised by or acting as an agency or instrumentality of that government the timely payment of which is unconditionally guaranteed as a full faith and credit obligation by that government which are not callable or redeemable at the option of the issuer thereof.</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5" w:lineRule="exact"/>
        <w:rPr>
          <w:sz w:val="20"/>
          <w:szCs w:val="20"/>
          <w:color w:val="auto"/>
        </w:rPr>
      </w:pPr>
    </w:p>
    <w:p>
      <w:pPr>
        <w:ind w:left="1320" w:right="659"/>
        <w:spacing w:after="0" w:line="286" w:lineRule="auto"/>
        <w:rPr>
          <w:sz w:val="20"/>
          <w:szCs w:val="20"/>
          <w:color w:val="auto"/>
        </w:rPr>
      </w:pPr>
      <w:r>
        <w:rPr>
          <w:rFonts w:ascii="Times New Roman" w:cs="Times New Roman" w:eastAsia="Times New Roman" w:hAnsi="Times New Roman"/>
          <w:sz w:val="14"/>
          <w:szCs w:val="14"/>
          <w:color w:val="auto"/>
        </w:rPr>
        <w:t>The indenture and the debt securities will be governed by, and construed in accordance with, the laws of the State of New York without regard to conflict of law principles that would result in the application of any law other than the law of the State of New York.</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10159"/>
          </w:cols>
          <w:pgMar w:left="300" w:top="388"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RESTRICTIONS ON OWNERSHIP AND TRANSFER</w:t>
      </w:r>
    </w:p>
    <w:p>
      <w:pPr>
        <w:spacing w:after="0" w:line="178"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i w:val="1"/>
          <w:iCs w:val="1"/>
          <w:color w:val="auto"/>
        </w:rPr>
        <w:t>The following summary with respect to restrictions on ownership and transfer of Digital Realty Trust, Inc.’s stock sets forth certain general terms and provisions of the company’s charter documents to which any prospectus supplement may relate. This summary does not purport to be complete and is subject to and qualified in its entirety by reference to the company’s charter documents, as amended and supplemented from time to time, including any articles supplementary relating to any issuance of preferred stock pursuant to this prospectus. Copies of the company’s existing charter documents are filed with the SEC and are incorporated by reference as exhibits to the registration statement of which this prospectus is a part. Any amendment or supplement to the company’s charter documents relating to an issuance of securities pursuant to this prospectus shall be filed with the SEC and shall be incorporated by reference as an exhibit to the applicable prospectus supplement. See “Where You Can Find More Information.”</w:t>
      </w:r>
    </w:p>
    <w:p>
      <w:pPr>
        <w:spacing w:after="0" w:line="143"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In order for the company to qualify as a REIT under the Internal Revenue Code of 1986, as amended, or the Code, the company’s stock must be beneficially owned by 100 or more persons during at least 335 days of a taxable year of 12 months (other than the first year for which an election to be a REIT has been made) or during a proportionate part of a shorter taxable year. Also, not more than 50% of the value of the outstanding shares of stock may be owned, directly or indirectly, by five or fewer individuals (as defined in the Code to include certain entities such as qualified pension plans) during the last half of a taxable year (other than the first year for which an election to be a REIT has been made).</w:t>
      </w:r>
    </w:p>
    <w:p>
      <w:pPr>
        <w:spacing w:after="0" w:line="142" w:lineRule="exact"/>
        <w:rPr>
          <w:sz w:val="20"/>
          <w:szCs w:val="20"/>
          <w:color w:val="auto"/>
        </w:rPr>
      </w:pPr>
    </w:p>
    <w:p>
      <w:pPr>
        <w:ind w:left="1320" w:right="239"/>
        <w:spacing w:after="0" w:line="256" w:lineRule="auto"/>
        <w:rPr>
          <w:sz w:val="20"/>
          <w:szCs w:val="20"/>
          <w:color w:val="auto"/>
        </w:rPr>
      </w:pPr>
      <w:r>
        <w:rPr>
          <w:rFonts w:ascii="Times New Roman" w:cs="Times New Roman" w:eastAsia="Times New Roman" w:hAnsi="Times New Roman"/>
          <w:sz w:val="14"/>
          <w:szCs w:val="14"/>
          <w:color w:val="auto"/>
        </w:rPr>
        <w:t>The company’s charter contains restrictions on the ownership and transfer of the common stock, preferred stock and capital stock that are intended to assist the company in complying with these requirements and continuing to qualify as a REIT. The relevant sections of the company’s charter provide that, subject to the exceptions described below, no person or entity may beneficially own, or be deemed to own by virtue of the applicable constructive ownership provisions of the Code, more than 9.8% (by value or by number of shares, whichever is more restrictive) of the outstanding shares of the common stock or of any series of preferred stock, or more than 9.8% of the value of the company’s outstanding capital stock. The company refers to these restrictions as the “common stock ownership limit,” the “preferred stock ownership limit” and the “aggregate stock ownership limit,” respectively. A person or entity that becomes subject to one of the ownership limits by virtue of a violative transfer that results in a transfer to a trust, as set forth below, is referred to as a “purported beneficial transferee” if, had the violative transfer been effective, the person or entity would have been a record owner and beneficial owner or solely a beneficial owner of the common stock, any series of the company’s preferred stock, or the company’s capital stock, as applicable, or is referred to as a “purported record transferee” if, had the violative transfer been effective, the person or entity would have been solely a record owner of the common stock, any series of the company’s preferred stock, or the company’s capital stock, as applicable.</w:t>
      </w:r>
    </w:p>
    <w:p>
      <w:pPr>
        <w:spacing w:after="0" w:line="146"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The constructive ownership rules under the Code are complex and may cause stock owned actually or constructively by a group of related individuals and/or entities to be owned constructively by one individual or entity. As a result, the acquisition of less than 9.8% of the common stock or any series of the company’s preferred stock or less than 9.8% of the value of the company’s outstanding capital stock (or the acquisition of an interest in an entity that owns, actually or constructively, the company’s capital stock) by an individual or entity could, nevertheless, cause that individual or entity, or another individual or entity, to own constructively more than 9.8% of the company’s outstanding common stock or a series of the company’s preferred stock or capital stock, as applicable, and thereby subject such stock to the applicable ownership limit.</w:t>
      </w:r>
    </w:p>
    <w:p>
      <w:pPr>
        <w:spacing w:after="0" w:line="145"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may, in its sole discretion waive, prospectively or retroactively, the common stock ownership limit or aggregate stock ownership limit with respect to the beneficial ownership of a particular stockholder if it determines that such waiver will not cause any individual’s beneficial ownership of shares of the company’s capital stock to violate the aggregate stock ownership limit and that any exemption from the applicable ownership limit will not jeopardize the company’s status as a REIT.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10159"/>
          </w:cols>
          <w:pgMar w:left="300" w:top="388"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The company’s board of directors may, in its sole discretion waive, prospectively or retroactively, the common stock ownership limit or aggregate stock ownership limit with respect to the constructive ownership of a particular stockholder if it determines that such stockholder does not and will not own, actually or constructively, an interest in a tenant of the company (or a tenant of any entity owned in whole or in part by the company) that would cause the company to own, actually or constructively, more than a 9.8% interest (as set forth in Section 856(d)(2)(B) of the Code) in such tenant or that any such ownership would not cause the company to fail to qualify as a REIT under the Code.</w:t>
      </w:r>
    </w:p>
    <w:p>
      <w:pPr>
        <w:spacing w:after="0" w:line="142" w:lineRule="exact"/>
        <w:rPr>
          <w:sz w:val="20"/>
          <w:szCs w:val="20"/>
          <w:color w:val="auto"/>
        </w:rPr>
      </w:pPr>
    </w:p>
    <w:p>
      <w:pPr>
        <w:jc w:val="both"/>
        <w:ind w:left="1320" w:right="319"/>
        <w:spacing w:after="0" w:line="269" w:lineRule="auto"/>
        <w:rPr>
          <w:sz w:val="20"/>
          <w:szCs w:val="20"/>
          <w:color w:val="auto"/>
        </w:rPr>
      </w:pPr>
      <w:r>
        <w:rPr>
          <w:rFonts w:ascii="Times New Roman" w:cs="Times New Roman" w:eastAsia="Times New Roman" w:hAnsi="Times New Roman"/>
          <w:sz w:val="14"/>
          <w:szCs w:val="14"/>
          <w:color w:val="auto"/>
        </w:rPr>
        <w:t>The company’s board of directors may also, in its sole discretion waive, prospectively or retroactively, the preferred stock ownership limit with respect to a particular stockholder if it determines that such waiver will not: (1) cause any individual’s beneficial ownership of shares of the company’s capital stock to violate the aggregate stock ownership limit, or (2) jeopardize the company’s status as a REIT.</w:t>
      </w:r>
    </w:p>
    <w:p>
      <w:pPr>
        <w:spacing w:after="0" w:line="137" w:lineRule="exact"/>
        <w:rPr>
          <w:sz w:val="20"/>
          <w:szCs w:val="20"/>
          <w:color w:val="auto"/>
        </w:rPr>
      </w:pPr>
    </w:p>
    <w:p>
      <w:pPr>
        <w:ind w:left="1320" w:right="219"/>
        <w:spacing w:after="0" w:line="286" w:lineRule="auto"/>
        <w:rPr>
          <w:sz w:val="20"/>
          <w:szCs w:val="20"/>
          <w:color w:val="auto"/>
        </w:rPr>
      </w:pPr>
      <w:r>
        <w:rPr>
          <w:rFonts w:ascii="Times New Roman" w:cs="Times New Roman" w:eastAsia="Times New Roman" w:hAnsi="Times New Roman"/>
          <w:sz w:val="14"/>
          <w:szCs w:val="14"/>
          <w:color w:val="auto"/>
        </w:rPr>
        <w:t>As a condition of the company’s waiver, the company’s board of directors may require an opinion of counsel or IRS ruling satisfactory to the company’s board of directors, and/or representations or undertakings from the applicant with respect to preserving the company’s REIT status.</w:t>
      </w:r>
    </w:p>
    <w:p>
      <w:pPr>
        <w:spacing w:after="0" w:line="125"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In connection with a waiver of an ownership limit or at any other time, the company’s board of directors may increase the applicable ownership limit for one or more persons and decrease the applicable ownership limit for all other persons and entities; provided, however, that the decreased ownership limit will not be effective for any person or entity whose percentage ownership in the common stock, any series of the company’s preferred stock or capital stock, as applicable, exceeds the decreased ownership limit until such time as such person or entity’s percentage ownership equals or falls below the decreased ownership limit; but any further acquisition of the company’s common, preferred or capital stock, as applicable, in excess of such percentage ownership will be in violation of the applicable ownership limit. Additionally, the new ownership limit, as applicable, may not allow five or fewer stockholders to beneficially own more than 49% in value of the company’s outstanding capital stock.</w:t>
      </w:r>
    </w:p>
    <w:p>
      <w:pPr>
        <w:spacing w:after="0" w:line="14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company’s charter further prohibits:</w:t>
      </w:r>
    </w:p>
    <w:p>
      <w:pPr>
        <w:spacing w:after="0" w:line="104" w:lineRule="exact"/>
        <w:rPr>
          <w:sz w:val="20"/>
          <w:szCs w:val="20"/>
          <w:color w:val="auto"/>
        </w:rPr>
      </w:pPr>
    </w:p>
    <w:p>
      <w:pPr>
        <w:ind w:left="2080" w:right="379" w:hanging="337"/>
        <w:spacing w:after="0" w:line="286" w:lineRule="auto"/>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from beneficially or constructively owning shares of the company’s stock that would result in our being “closely held” under Section 856(h) of the Code or otherwise cause the company to fail to qualify as a REIT; and</w:t>
      </w:r>
    </w:p>
    <w:p>
      <w:pPr>
        <w:spacing w:after="0" w:line="50" w:lineRule="exact"/>
        <w:rPr>
          <w:rFonts w:ascii="Times New Roman" w:cs="Times New Roman" w:eastAsia="Times New Roman" w:hAnsi="Times New Roman"/>
          <w:sz w:val="14"/>
          <w:szCs w:val="14"/>
          <w:color w:val="auto"/>
        </w:rPr>
      </w:pPr>
    </w:p>
    <w:p>
      <w:pPr>
        <w:ind w:left="2080" w:right="479" w:hanging="337"/>
        <w:spacing w:after="0" w:line="286" w:lineRule="auto"/>
        <w:tabs>
          <w:tab w:leader="none" w:pos="20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from transferring shares of the company’s capital stock if such transfer would result in shares of the company’s stock being beneficially owned by fewer than 100 persons (determined without reference to any rules of attribution).</w:t>
      </w:r>
    </w:p>
    <w:p>
      <w:pPr>
        <w:spacing w:after="0" w:line="12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Any person who acquires or attempts or intends to acquire beneficial or constructive ownership of shares of the company’s stock that will or may violate any of the foregoing restrictions on transferability and ownership will be required to give notice immediately to the company and provide the company with such other information as it may request in order to determine the effect of such transfer on the company’s status as a REIT. The foregoing provisions on transferability and ownership will not apply if the company’s board of directors determines that it is no longer in the company’s best interests to attempt to qualify, or to continue to qualify, as a REIT.</w:t>
      </w:r>
    </w:p>
    <w:p>
      <w:pPr>
        <w:spacing w:after="0" w:line="142"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Pursuant to the company’s charter, if any purported transfer of the company’s stock or any other event would otherwise result in any person violating the ownership limits or such other limit as established by the company’s board of directors or would result in the company being “closely held” under Section 856(h) of the Code or otherwise failing to qualify as a REIT, then that number of shares in excess of the applicable ownership limit or causing us to be “closely held” or otherwise to fail to qualify as a REIT (rounded up to the nearest whole share) will be automatically transferred to, and held by, a trust for the exclusive benefit of one or more charitable organizations selected by the company and the intended transferee will acquire no rights in such shares. The automatic transfer will be effective as of the close of business on the business day prior to the date of the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36</w:t>
      </w:r>
    </w:p>
    <w:p>
      <w:pPr>
        <w:sectPr>
          <w:pgSz w:w="11900" w:h="16838" w:orient="portrait"/>
          <w:cols w:equalWidth="0" w:num="1">
            <w:col w:w="10159"/>
          </w:cols>
          <w:pgMar w:left="300" w:top="388"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79"/>
        <w:spacing w:after="0" w:line="257" w:lineRule="auto"/>
        <w:rPr>
          <w:sz w:val="20"/>
          <w:szCs w:val="20"/>
          <w:color w:val="auto"/>
        </w:rPr>
      </w:pPr>
      <w:r>
        <w:rPr>
          <w:rFonts w:ascii="Times New Roman" w:cs="Times New Roman" w:eastAsia="Times New Roman" w:hAnsi="Times New Roman"/>
          <w:sz w:val="14"/>
          <w:szCs w:val="14"/>
          <w:color w:val="auto"/>
        </w:rPr>
        <w:t>violative transfer or other event that results in the transfer to the trust. Any dividend or other distribution paid to the purported record transferee that are owed by the purported record transferee to the trust as described above, must be repaid to the trustee upon demand for distribution to the beneficiary of the trust, and the trustee may reduce the amount payable to the purported record transferee upon the sale of the shares transferred to the trustee (as described below) by the amount of any such dividends or other distributions which have not been repaid to the trustee. If the transfer to the trust as described above is not automatically effective, for any reason, to prevent a violation of the applicable ownership limit or the company’s being “closely held” or otherwise failing to qualify as a REIT, then the company’s charter provides that the transfer of the shares in excess of the ownership limit will be void. If any transfer would result in shares of the company’s stock being beneficially owned by fewer than 100 persons, then any such purported transfer will be void and of no force or effect and the intended transferee will acquire no rights in the shares.</w:t>
      </w:r>
    </w:p>
    <w:p>
      <w:pPr>
        <w:spacing w:after="0" w:line="147"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Shares of the company’s stock transferred to the trustee are deemed offered for sale to the company, or the company’s designee, at a price per share equal to the lesser of (1) the price paid by the purported record transferee for the shares (or, if the event which resulted in the transfer to the trust did not involve a purchase of such shares of the company’s stock at market price, the last sales price reported on the NYSE on the trading day immediately preceding the day of the event which resulted in the transfer of such shares of the company’s stock to the trust) and (2) the market price on the date the company, or its designee, accepts such offer. The company may reduce the amount payable to the purported record transferee by the amount of dividends and distributions which have been paid to the purported record transferee and are owed by the purported record transferee to the trustee. The company will pay the amount of such reduction to the trustee for the benefit of the charitable beneficiary. The company has the right to accept such offer until the trustee has sold the shares of the company’s stock held in the trust pursuant to the clauses discussed below. Upon a sale to the company, the interest of the charitable beneficiary in the shares sold terminates and the trustee must distribute the net proceeds of the sale to the purported record transferee and any dividends or other distributions held by the trustee with respect to such stock will be paid to the charitable beneficiary.</w:t>
      </w:r>
    </w:p>
    <w:p>
      <w:pPr>
        <w:spacing w:after="0" w:line="148" w:lineRule="exact"/>
        <w:rPr>
          <w:sz w:val="20"/>
          <w:szCs w:val="20"/>
          <w:color w:val="auto"/>
        </w:rPr>
      </w:pPr>
    </w:p>
    <w:p>
      <w:pPr>
        <w:jc w:val="both"/>
        <w:ind w:left="1320" w:right="259"/>
        <w:spacing w:after="0" w:line="259" w:lineRule="auto"/>
        <w:rPr>
          <w:sz w:val="20"/>
          <w:szCs w:val="20"/>
          <w:color w:val="auto"/>
        </w:rPr>
      </w:pPr>
      <w:r>
        <w:rPr>
          <w:rFonts w:ascii="Times New Roman" w:cs="Times New Roman" w:eastAsia="Times New Roman" w:hAnsi="Times New Roman"/>
          <w:sz w:val="14"/>
          <w:szCs w:val="14"/>
          <w:color w:val="auto"/>
        </w:rPr>
        <w:t>If the company does not buy the shares, the trustee must, within 20 days of receiving notice from the company of the transfer of shares to the trust, sell the shares to a person or entity designated by the trustee who could own the shares without violating the common stock ownership limit or the preferred stock ownership limit, as applicable, and the aggregate stock ownership limit or such other limit as established by the company’s board of directors.</w:t>
      </w:r>
    </w:p>
    <w:p>
      <w:pPr>
        <w:spacing w:after="0" w:line="2" w:lineRule="exact"/>
        <w:rPr>
          <w:sz w:val="20"/>
          <w:szCs w:val="20"/>
          <w:color w:val="auto"/>
        </w:rPr>
      </w:pPr>
    </w:p>
    <w:p>
      <w:pPr>
        <w:ind w:left="1320" w:right="199"/>
        <w:spacing w:after="0" w:line="254" w:lineRule="auto"/>
        <w:rPr>
          <w:sz w:val="20"/>
          <w:szCs w:val="20"/>
          <w:color w:val="auto"/>
        </w:rPr>
      </w:pPr>
      <w:r>
        <w:rPr>
          <w:rFonts w:ascii="Times New Roman" w:cs="Times New Roman" w:eastAsia="Times New Roman" w:hAnsi="Times New Roman"/>
          <w:sz w:val="14"/>
          <w:szCs w:val="14"/>
          <w:color w:val="auto"/>
        </w:rPr>
        <w:t>After that, the trustee must distribute to the purported record transferee an amount equal to the lesser of (1) the price paid by the purported record transferee or owner for the shares (or, if the event which resulted in the transfer to the trust did not involve a purchase of such shares at market price, the last sales price reported on the NYSE on the trading day immediately preceding the day of the event which resulted in the transfer of such shares of the company’s stock to the trust) and (2) the sales proceeds (net of commissions and other expenses of sale) received by the trustee for the shares. The trustee may reduce the amount payable to the purported record transferee by the amount of dividends and distributions which have been paid to the purported record transferee and are owed by the purported record transferee to the trustee. Any net sales proceeds in excess of the amount payable to the purported record transferee will be immediately paid to the charitable beneficiary, together with any dividends or other distributions thereon. In addition, if prior to discovery by the company that shares of the company’s stock have been transferred to a trust, such shares of stock are sold by a purported record transferee, then such shares shall be deemed to have been sold on behalf of the trust and to the extent that the purported record transferee received an amount for or in respect of such shares that exceeds the amount that such purported record transferee was entitled to receive, such excess amount shall be paid to the trustee upon demand. The purported beneficial transferee or purported record transferee has no rights in the shares held by the trustee.</w:t>
      </w:r>
    </w:p>
    <w:p>
      <w:pPr>
        <w:spacing w:after="0" w:line="316"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The trustee will be designated by the company and will be unaffiliated with the company and with any purported record transferee or purported beneficial transferee. Prior to the sale of any shares in excess of the common stock ownership limit, the preferred stock ownership limit or the aggregate stock ownership limit by the trust, the trustee will receive, in trust for the beneficiary, all dividends and other distributions paid by the company with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0159"/>
          </w:cols>
          <w:pgMar w:left="300" w:top="388" w:right="1440"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respect to the shares in excess of the applicable ownership limit, and may also exercise all voting rights with respect to such shares.</w:t>
      </w:r>
    </w:p>
    <w:p>
      <w:pPr>
        <w:spacing w:after="0" w:line="178"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Subject to Maryland law, effective as of the date that the shares have been transferred to the trust, the trustee will have the authority, at the trustee’s sole discretion:</w:t>
      </w:r>
    </w:p>
    <w:p>
      <w:pPr>
        <w:spacing w:after="0" w:line="51" w:lineRule="exact"/>
        <w:rPr>
          <w:sz w:val="20"/>
          <w:szCs w:val="20"/>
          <w:color w:val="auto"/>
        </w:rPr>
      </w:pPr>
    </w:p>
    <w:p>
      <w:pPr>
        <w:ind w:left="2080" w:right="319" w:hanging="337"/>
        <w:spacing w:after="0" w:line="286" w:lineRule="auto"/>
        <w:tabs>
          <w:tab w:leader="none" w:pos="2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rescind as void any vote cast by a purported record transferee prior to the company’s discovery that the shares have been transferred to the trust; and</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recast the vote in accordance with the desires of the trustee acting for the benefit of the beneficiary of the trust.</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However, if the company has already taken irreversible corporate action, then the trustee may not rescind and recast the vote.</w:t>
      </w:r>
    </w:p>
    <w:p>
      <w:pPr>
        <w:spacing w:after="0" w:line="178" w:lineRule="exact"/>
        <w:rPr>
          <w:sz w:val="20"/>
          <w:szCs w:val="20"/>
          <w:color w:val="auto"/>
        </w:rPr>
      </w:pPr>
    </w:p>
    <w:p>
      <w:pPr>
        <w:ind w:left="1320" w:right="319"/>
        <w:spacing w:after="0" w:line="261" w:lineRule="auto"/>
        <w:rPr>
          <w:sz w:val="20"/>
          <w:szCs w:val="20"/>
          <w:color w:val="auto"/>
        </w:rPr>
      </w:pPr>
      <w:r>
        <w:rPr>
          <w:rFonts w:ascii="Times New Roman" w:cs="Times New Roman" w:eastAsia="Times New Roman" w:hAnsi="Times New Roman"/>
          <w:sz w:val="14"/>
          <w:szCs w:val="14"/>
          <w:color w:val="auto"/>
        </w:rPr>
        <w:t>In addition, if the company’s board of directors or other permitted designees determine in good faith that a proposed transfer would violate the restrictions on ownership and transfer of the company’s stock set forth in the company’s charter, the company’s board of directors or other permitted designees will take such action as it deems or they deem advisable to refuse to give effect to or to prevent such transfer, including, but not limited to, causing the company to redeem shares of common stock or preferred stock, refusing to give effect to the transfer on the company’s books or instituting proceedings to enjoin the transfer.</w:t>
      </w:r>
    </w:p>
    <w:p>
      <w:pPr>
        <w:spacing w:after="0" w:line="142" w:lineRule="exact"/>
        <w:rPr>
          <w:sz w:val="20"/>
          <w:szCs w:val="20"/>
          <w:color w:val="auto"/>
        </w:rPr>
      </w:pPr>
    </w:p>
    <w:p>
      <w:pPr>
        <w:ind w:left="1320" w:right="219"/>
        <w:spacing w:after="0" w:line="257" w:lineRule="auto"/>
        <w:rPr>
          <w:sz w:val="20"/>
          <w:szCs w:val="20"/>
          <w:color w:val="auto"/>
        </w:rPr>
      </w:pPr>
      <w:r>
        <w:rPr>
          <w:rFonts w:ascii="Times New Roman" w:cs="Times New Roman" w:eastAsia="Times New Roman" w:hAnsi="Times New Roman"/>
          <w:sz w:val="14"/>
          <w:szCs w:val="14"/>
          <w:color w:val="auto"/>
        </w:rPr>
        <w:t>Any beneficial owner or constructive owner of shares of the company’s stock and any person or entity (including the stockholder of record) who is holding shares of the company’s stock for a beneficial owner must, on request, provide the company with a completed questionnaire containing the information regarding the ownership of such shares, as set forth in the applicable Treasury Regulations. In addition, any person or entity that is a beneficial owner or constructive owner of shares of the company’s stock and any person or entity (including the stockholder of record) who is holding shares of the company’s stock for a beneficial owner or constructive owner shall, on request, be required to disclose to the company in writing such information as the company may request in order to determine the effect, if any, of such stockholder’s actual and constructive ownership of shares of the company’s stock on the company’s status as a REIT and to ensure compliance with the common stock ownership limit, the preferred stock ownership limit and the aggregate stock ownership limit, or as otherwise permitted by the company’s board of directors.</w:t>
      </w:r>
    </w:p>
    <w:p>
      <w:pPr>
        <w:spacing w:after="0" w:line="14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All certificates representing shares of the company’s common stock and preferred stock bear a legend referring to the restrictions described above.</w:t>
      </w:r>
    </w:p>
    <w:p>
      <w:pPr>
        <w:spacing w:after="0" w:line="178" w:lineRule="exact"/>
        <w:rPr>
          <w:sz w:val="20"/>
          <w:szCs w:val="20"/>
          <w:color w:val="auto"/>
        </w:rPr>
      </w:pPr>
    </w:p>
    <w:p>
      <w:pPr>
        <w:ind w:left="1320" w:right="559"/>
        <w:spacing w:after="0" w:line="286" w:lineRule="auto"/>
        <w:rPr>
          <w:sz w:val="20"/>
          <w:szCs w:val="20"/>
          <w:color w:val="auto"/>
        </w:rPr>
      </w:pPr>
      <w:r>
        <w:rPr>
          <w:rFonts w:ascii="Times New Roman" w:cs="Times New Roman" w:eastAsia="Times New Roman" w:hAnsi="Times New Roman"/>
          <w:sz w:val="14"/>
          <w:szCs w:val="14"/>
          <w:color w:val="auto"/>
        </w:rPr>
        <w:t>These restrictions on ownership and transfer could delay, defer or prevent a transaction or a change of control of the company that might involve a premium price for the company’s stock or otherwise be in the best interest of the company’s stockholders.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38</w:t>
      </w:r>
    </w:p>
    <w:p>
      <w:pPr>
        <w:sectPr>
          <w:pgSz w:w="11900" w:h="16838" w:orient="portrait"/>
          <w:cols w:equalWidth="0" w:num="1">
            <w:col w:w="10159"/>
          </w:cols>
          <w:pgMar w:left="300" w:top="388" w:right="1440"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THE PARTNERSHIP AGREEMENT OF DIGITAL REALTY TRUST, L.P.</w:t>
      </w:r>
    </w:p>
    <w:p>
      <w:pPr>
        <w:spacing w:after="0" w:line="178" w:lineRule="exact"/>
        <w:rPr>
          <w:sz w:val="20"/>
          <w:szCs w:val="20"/>
          <w:color w:val="auto"/>
        </w:rPr>
      </w:pPr>
    </w:p>
    <w:p>
      <w:pPr>
        <w:ind w:left="1320" w:right="319"/>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is only a summary of certain terms and provisions of the Nineteenth Amended and Restated Agreement of Limited Partnership of Digital Realty Trust, L.P., as amended, which we refer to as the partnership agreement, and is subject to, and qualified in its entirety by, the partnership agreement, a copy of which is filed as an exhibit to the registration statement of which this prospectus is a part.</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Voting Rights</w:t>
      </w:r>
    </w:p>
    <w:p>
      <w:pPr>
        <w:spacing w:after="0" w:line="95" w:lineRule="exact"/>
        <w:rPr>
          <w:sz w:val="20"/>
          <w:szCs w:val="20"/>
          <w:color w:val="auto"/>
        </w:rPr>
      </w:pPr>
    </w:p>
    <w:p>
      <w:pPr>
        <w:ind w:left="1320" w:right="319"/>
        <w:spacing w:after="0" w:line="259" w:lineRule="auto"/>
        <w:rPr>
          <w:sz w:val="20"/>
          <w:szCs w:val="20"/>
          <w:color w:val="auto"/>
        </w:rPr>
      </w:pPr>
      <w:r>
        <w:rPr>
          <w:rFonts w:ascii="Times New Roman" w:cs="Times New Roman" w:eastAsia="Times New Roman" w:hAnsi="Times New Roman"/>
          <w:sz w:val="14"/>
          <w:szCs w:val="14"/>
          <w:color w:val="auto"/>
        </w:rPr>
        <w:t>Under the partnership agreement, Digital Realty Trust, Inc., as the operating partnership’s sole general partner, exercises exclusive and complete responsibility and discretion in the operating partnership’s day-to-day management and control, can cause the operating partnership to enter into major transactions including acquisitions, dispositions and refinancings, subject to certain limited exceptions, and may not be removed as general partner by the limited partners. The limited partners do not have voting rights relating to the operating partnership’s operation and management, except in connection with matters, as described more fully below, involving amendments to the partnership agreement and transfers of the general partner’s interest.</w:t>
      </w:r>
    </w:p>
    <w:p>
      <w:pPr>
        <w:spacing w:after="0" w:line="145"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The limited partners expressly acknowledged that Digital Realty Trust, Inc., as the operating partnership’s general partner, is acting for the benefit of the operating partnership, its limited partners and Digital Realty Trust, Inc.’s stockholders collectively. Neither Digital Realty Trust, Inc. nor its board of directors is under any obligation to give priority to the separate interests of the limited partners or Digital Realty Trust, Inc.’s stockholders in deciding whether to cause the operating partnership to take or decline to take any actions. If there is a conflict between the interests of Digital Realty Trust, Inc.’s stockholders on one hand and the operating partnership’s limited partners on the other, Digital Realty Trust, Inc. will endeavor in good faith to resolve the conflict in a manner not adverse to either Digital Realty Trust, Inc.’s stockholders or the operating partnership’s limited partners; provided, however, that for so long as Digital Realty Trust, Inc. owns a controlling interest in the operating partnership, any conflict that cannot be resolved in a manner not adverse to either Digital Realty Trust, Inc.’s stockholders or the operating partnership’s limited partners will be resolved in favor of Digital Realty Trust, Inc.’s stockholders. Digital Realty Trust, Inc. is not liable under the partnership agreement to the operating partnership or to any partner for monetary damages for losses sustained, liabilities incurred, or benefits not derived by limited partners in connection with such decisions, provided, that it has acted in good faith.</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Transferability of Interests</w:t>
      </w:r>
    </w:p>
    <w:p>
      <w:pPr>
        <w:spacing w:after="0" w:line="95"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Except in connection with a transaction described in “—Termination Transactions” below, Digital Realty Trust, Inc., as general partner, may not voluntarily withdraw from, or transfer or assign all or any portion of its interest in, the operating partnership without the consent of the holders of a majority of the limited partnership interests. Any transfer of units by the limited partners, except to immediate family members, to a trust for the benefit of a charitable beneficiary, to a lending institution as collateral for a bona fide loan or to an affiliate or member of such limited partner, will be subject to a right of first refusal by Digital Realty Trust, Inc. All transfers must be made only to “accredited investors” as defined under Rule 501 of the Securities Act.</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Amendments to the Partnership Agreement</w:t>
      </w:r>
    </w:p>
    <w:p>
      <w:pPr>
        <w:spacing w:after="0" w:line="95"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Amendments to the partnership agreement may be proposed by Digital Realty Trust, Inc., as general partner, or by limited partners owning at least 25% of the units held by limited partners.</w:t>
      </w:r>
    </w:p>
    <w:p>
      <w:pPr>
        <w:spacing w:after="0" w:line="125" w:lineRule="exact"/>
        <w:rPr>
          <w:sz w:val="20"/>
          <w:szCs w:val="20"/>
          <w:color w:val="auto"/>
        </w:rPr>
      </w:pPr>
    </w:p>
    <w:p>
      <w:pPr>
        <w:jc w:val="both"/>
        <w:ind w:left="1320" w:right="239"/>
        <w:spacing w:after="0" w:line="269" w:lineRule="auto"/>
        <w:rPr>
          <w:sz w:val="20"/>
          <w:szCs w:val="20"/>
          <w:color w:val="auto"/>
        </w:rPr>
      </w:pPr>
      <w:r>
        <w:rPr>
          <w:rFonts w:ascii="Times New Roman" w:cs="Times New Roman" w:eastAsia="Times New Roman" w:hAnsi="Times New Roman"/>
          <w:sz w:val="14"/>
          <w:szCs w:val="14"/>
          <w:color w:val="auto"/>
        </w:rPr>
        <w:t>Generally, the partnership agreement may not be amended, modified or terminated without the approval of limited partners (other than limited partners 50% or more of whose equity is owned, directly or indirectly, by Digital Realty Trust, Inc. as general partner) holding a majority of all outstanding units held by limited partners.</w:t>
      </w:r>
    </w:p>
    <w:p>
      <w:pPr>
        <w:spacing w:after="0" w:line="137"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As general partner, Digital Realty Trust, Inc. has the power to unilaterally make certain amendments to the partnership agreement without obtaining the consent of the limited partners as may be required to:</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39</w:t>
      </w:r>
    </w:p>
    <w:p>
      <w:pPr>
        <w:sectPr>
          <w:pgSz w:w="11900" w:h="16838" w:orient="portrait"/>
          <w:cols w:equalWidth="0" w:num="1">
            <w:col w:w="10159"/>
          </w:cols>
          <w:pgMar w:left="300" w:top="388" w:right="1440"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519" w:hanging="337"/>
        <w:spacing w:after="0" w:line="286" w:lineRule="auto"/>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to Digital Realty Trust, Inc.’s obligations as general partner or surrender any right or power granted to it as general partner for the benefit of the limited partners;</w:t>
      </w:r>
    </w:p>
    <w:p>
      <w:pPr>
        <w:spacing w:after="0" w:line="50" w:lineRule="exact"/>
        <w:rPr>
          <w:rFonts w:ascii="Times New Roman" w:cs="Times New Roman" w:eastAsia="Times New Roman" w:hAnsi="Times New Roman"/>
          <w:sz w:val="14"/>
          <w:szCs w:val="14"/>
          <w:color w:val="auto"/>
        </w:rPr>
      </w:pPr>
    </w:p>
    <w:p>
      <w:pPr>
        <w:ind w:left="2080" w:right="739" w:hanging="337"/>
        <w:spacing w:after="0" w:line="286" w:lineRule="auto"/>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the issuance of additional units or the admission, substitution, termination or withdrawal of partners in accordance with the partnership agreement;</w:t>
      </w:r>
    </w:p>
    <w:p>
      <w:pPr>
        <w:spacing w:after="0" w:line="50"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set forth or amend the designations, rights, powers, duties and preferences of the holders of any additional units issued in accordance with the partnership agreement;</w:t>
      </w:r>
    </w:p>
    <w:p>
      <w:pPr>
        <w:spacing w:after="0" w:line="50" w:lineRule="exact"/>
        <w:rPr>
          <w:rFonts w:ascii="Times New Roman" w:cs="Times New Roman" w:eastAsia="Times New Roman" w:hAnsi="Times New Roman"/>
          <w:sz w:val="14"/>
          <w:szCs w:val="14"/>
          <w:color w:val="auto"/>
        </w:rPr>
      </w:pPr>
    </w:p>
    <w:p>
      <w:pPr>
        <w:ind w:left="2080" w:right="319" w:hanging="337"/>
        <w:spacing w:after="0" w:line="264" w:lineRule="auto"/>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a change of an inconsequential nature that does not adversely affect the limited partners in any material respect, or cure any ambiguity, correct or supplement any provisions of the partnership agreement not inconsistent with law or with other provisions of the partnership agreement, or make other changes concerning matters under the partnership agreement that will not otherwise be inconsistent with the partnership agreement or law;</w:t>
      </w:r>
    </w:p>
    <w:p>
      <w:pPr>
        <w:spacing w:after="0" w:line="65"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satisfy any requirements, conditions or guidelines of federal or state law;</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 changes that are reasonably necessary for Digital Realty Trust, Inc., as general partner, to maintain its status as a REIT;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modify the manner in which capital accounts are computed.</w:t>
      </w:r>
    </w:p>
    <w:p>
      <w:pPr>
        <w:spacing w:after="0" w:line="178"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Amendments that would, among other things, convert a limited partner’s interest into a general partner’s interest, modify the limited liability of a limited partner, alter a partner’s right to receive any distributions or allocations of profits or losses, adversely alter or modify the redemption rights or alter the protections of the limited partners in connection with termination transactions described below must be approved by each limited partner that would be adversely affected by such amendment.</w:t>
      </w:r>
    </w:p>
    <w:p>
      <w:pPr>
        <w:spacing w:after="0" w:line="140" w:lineRule="exact"/>
        <w:rPr>
          <w:sz w:val="20"/>
          <w:szCs w:val="20"/>
          <w:color w:val="auto"/>
        </w:rPr>
      </w:pPr>
    </w:p>
    <w:p>
      <w:pPr>
        <w:ind w:left="1320" w:right="379"/>
        <w:spacing w:after="0" w:line="269" w:lineRule="auto"/>
        <w:rPr>
          <w:sz w:val="20"/>
          <w:szCs w:val="20"/>
          <w:color w:val="auto"/>
        </w:rPr>
      </w:pPr>
      <w:r>
        <w:rPr>
          <w:rFonts w:ascii="Times New Roman" w:cs="Times New Roman" w:eastAsia="Times New Roman" w:hAnsi="Times New Roman"/>
          <w:sz w:val="14"/>
          <w:szCs w:val="14"/>
          <w:color w:val="auto"/>
        </w:rPr>
        <w:t>In addition, without the written consent of a majority of the units held by limited partners (other than limited partners 50% or more of whose equity is owned, directly or indirectly, by Digital Realty Trust, Inc. as general partner), Digital Realty Trust, Inc., as general partner, may not do any of the following:</w:t>
      </w:r>
    </w:p>
    <w:p>
      <w:pPr>
        <w:spacing w:after="0" w:line="63" w:lineRule="exact"/>
        <w:rPr>
          <w:sz w:val="20"/>
          <w:szCs w:val="20"/>
          <w:color w:val="auto"/>
        </w:rPr>
      </w:pPr>
    </w:p>
    <w:p>
      <w:pPr>
        <w:ind w:left="2080" w:hanging="337"/>
        <w:spacing w:after="0"/>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take any action in contravention of an express prohibition or limitation contained in the partnership agreement;</w:t>
      </w:r>
    </w:p>
    <w:p>
      <w:pPr>
        <w:spacing w:after="0" w:line="104" w:lineRule="exact"/>
        <w:rPr>
          <w:rFonts w:ascii="Times New Roman" w:cs="Times New Roman" w:eastAsia="Times New Roman" w:hAnsi="Times New Roman"/>
          <w:sz w:val="14"/>
          <w:szCs w:val="14"/>
          <w:color w:val="auto"/>
        </w:rPr>
      </w:pPr>
    </w:p>
    <w:p>
      <w:pPr>
        <w:ind w:left="2080" w:right="299" w:hanging="337"/>
        <w:spacing w:after="0" w:line="286" w:lineRule="auto"/>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 any act that would subject a limited partner to liability as a general partner in any jurisdiction or any liability not contemplated in the partnership agreement;</w:t>
      </w:r>
    </w:p>
    <w:p>
      <w:pPr>
        <w:spacing w:after="0" w:line="50" w:lineRule="exact"/>
        <w:rPr>
          <w:rFonts w:ascii="Times New Roman" w:cs="Times New Roman" w:eastAsia="Times New Roman" w:hAnsi="Times New Roman"/>
          <w:sz w:val="14"/>
          <w:szCs w:val="14"/>
          <w:color w:val="auto"/>
        </w:rPr>
      </w:pPr>
    </w:p>
    <w:p>
      <w:pPr>
        <w:ind w:left="2080" w:right="579" w:hanging="337"/>
        <w:spacing w:after="0" w:line="286" w:lineRule="auto"/>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contract, mortgage, loan or other agreement that prohibits or restricts, or has the effect of prohibiting or restricting, the ability of a limited partner to exercise its redemption/exchange rights explained below;</w:t>
      </w:r>
    </w:p>
    <w:p>
      <w:pPr>
        <w:spacing w:after="0" w:line="50"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or conduct any business other than in connection with its role as the operating partnership’s general partner and its operation as a REIT;</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acquire an interest in real or personal property other than through the operating partnership;</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 from the operating partnership or transfer any portion of its general partnership interest;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relieved of its obligations under the partnership agreement following any permitted transfer of its general partnership interest.</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Distributions to Unitholders</w:t>
      </w:r>
    </w:p>
    <w:p>
      <w:pPr>
        <w:spacing w:after="0" w:line="95"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The partnership agreement provides that holders of common units are entitled to receive quarterly distributions of available cash on a pro rata basis in accordance with their respective percentage interests. Digital Realty Trust, Inc., as the sole holder of the operating partnership’s series J preferred units, series K preferred units and series L preferred units receives distributions from the operating partnership with respect to such preferred units in order to make the distributions to series J preferred stockholders, series K preferred stockholders and series L preferred stockholders of Digital Realty Trust, Inc.</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40</w:t>
      </w:r>
    </w:p>
    <w:p>
      <w:pPr>
        <w:sectPr>
          <w:pgSz w:w="11900" w:h="16838" w:orient="portrait"/>
          <w:cols w:equalWidth="0" w:num="1">
            <w:col w:w="10159"/>
          </w:cols>
          <w:pgMar w:left="300" w:top="388" w:right="1440"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Redemption/Exchange Rights</w:t>
      </w:r>
    </w:p>
    <w:p>
      <w:pPr>
        <w:spacing w:after="0" w:line="95" w:lineRule="exact"/>
        <w:rPr>
          <w:sz w:val="20"/>
          <w:szCs w:val="20"/>
          <w:color w:val="auto"/>
        </w:rPr>
      </w:pPr>
    </w:p>
    <w:p>
      <w:pPr>
        <w:ind w:left="1320" w:right="239"/>
        <w:spacing w:after="0" w:line="256" w:lineRule="auto"/>
        <w:rPr>
          <w:sz w:val="20"/>
          <w:szCs w:val="20"/>
          <w:color w:val="auto"/>
        </w:rPr>
      </w:pPr>
      <w:r>
        <w:rPr>
          <w:rFonts w:ascii="Times New Roman" w:cs="Times New Roman" w:eastAsia="Times New Roman" w:hAnsi="Times New Roman"/>
          <w:sz w:val="14"/>
          <w:szCs w:val="14"/>
          <w:color w:val="auto"/>
        </w:rPr>
        <w:t>Limited partners have the right to require the operating partnership to redeem part or all of their units for cash based upon the fair market value of an equivalent number of shares of Digital Realty Trust, Inc. common stock at the time of the redemption. Alternatively, Digital Realty Trust, Inc. may elect to acquire those units in exchange for shares of Digital Realty Trust, Inc. common stock. Digital Realty Trust, Inc.’s acquisition will be on a one-for-one basis, subject to adjustment in the event of stock splits, stock dividends, issuances of stock rights, specified extraordinary distributions and similar events. Digital Realty Trust, Inc. presently anticipates that it will elect to issue shares of its common stock in exchange for units in connection with each redemption request, rather than having the operating partnership redeem the units for cash. With each redemption or exchange, Digital Realty Trust, Inc.’s percentage ownership interest in the operating partnership increases. Limited partners who hold units may exercise this redemption right from time to time, in whole or in part, except when, as a consequence of shares of Digital Realty Trust, Inc. common stock being issued, any person’s actual or constructive stock ownership would exceed Digital Realty Trust, Inc.’s ownership limits, or any other limit as provided in its charter or as otherwise determined by its board of directors.</w:t>
      </w:r>
    </w:p>
    <w:p>
      <w:pPr>
        <w:spacing w:after="0" w:line="148"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In addition, if the number of units delivered by a limited partner for redemption would, if exchanged for common stock, exceed 9.8% of Digital Realty Trust, Inc.’s outstanding common stock and $50.0 million in gross value (based on a unit value equal to the trailing ten-day daily price of Digital Realty Trust, Inc. common stock) and Digital Realty Trust, Inc. is eligible to file a registration statement on Form S-3 under the Securities Act, then it may also elect to redeem the units with the proceeds from a public offering or private placement of its common stock. In the event it elects this option, Digital Realty Trust, Inc. may require the other limited partners also to elect whether or not to participate. If it does so, any limited partner who does not elect to participate will not be permitted to redeem units for the subsequent 12 months, subject to limited exceptions. Participating limited partners will receive on the redemption date the lesser of the cash the operating partnership would otherwise be required to pay for such units or the net proceeds per share in the public offering, but will have a limited opportunity to withdraw their units from the redemption immediately prior to the pricing of the public offering. Except as described above, a limited partner is not entitled to redeem common units, either for cash or shares of Digital Realty Trust, Inc. common stock, if exchanging the common units for shares of Digital Realty Trust, Inc. common stock would violate the ownership limits set forth in Digital Realty Trust, Inc.’s charter.</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Partnership Right to Call Limited Partner Interests</w:t>
      </w:r>
    </w:p>
    <w:p>
      <w:pPr>
        <w:spacing w:after="0" w:line="9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At any time a limited partner owns fewer than 20,000 units or if a limited partners owns (i) partnership units that were granted as profit interest units to such limited partner on or after September 21, 2018 and/or (ii) partnership units that were acquired by such limited partner as a result of the conversion of profits interest units that were granted to such limited partner on after September 21, 2018, then at any time following the second anniversary of the date on which such limited partner ceases to provide services to the partnership, the general partner shall have the right, but not the obligation, from time to time to redeem all outstanding units owned by such limited partner.</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Issuance of Additional Common Units, Preferred Units, Common Stock, Preferred Stock or Convertible Securities</w:t>
      </w:r>
    </w:p>
    <w:p>
      <w:pPr>
        <w:spacing w:after="0" w:line="9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As the operating partnership’s sole general partner, Digital Realty Trust, Inc. has the ability to cause the operating partnership to issue additional units representing general and limited partnership interests. These additional units may include preferred limited partnership units. In addition, Digital Realty Trust, Inc. may issue additional shares of its common stock or convertible securities, but only if it causes the operating partnership to issue to it partnership interests or rights, options, warrants or convertible or exchangeable securities of the operating partnership having designations, preferences and other rights, so that the economic interests of the operating partnership’s interests issued are substantially similar to the economic interests of the securities that Digital Realty Trust, Inc. has issued.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41</w:t>
      </w:r>
    </w:p>
    <w:p>
      <w:pPr>
        <w:sectPr>
          <w:pgSz w:w="11900" w:h="16838" w:orient="portrait"/>
          <w:cols w:equalWidth="0" w:num="1">
            <w:col w:w="10159"/>
          </w:cols>
          <w:pgMar w:left="300" w:top="388" w:right="1440"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Matters</w:t>
      </w:r>
    </w:p>
    <w:p>
      <w:pPr>
        <w:spacing w:after="0" w:line="95" w:lineRule="exact"/>
        <w:rPr>
          <w:sz w:val="20"/>
          <w:szCs w:val="20"/>
          <w:color w:val="auto"/>
        </w:rPr>
      </w:pPr>
    </w:p>
    <w:p>
      <w:pPr>
        <w:jc w:val="both"/>
        <w:ind w:left="1320" w:right="319"/>
        <w:spacing w:after="0" w:line="269" w:lineRule="auto"/>
        <w:rPr>
          <w:sz w:val="20"/>
          <w:szCs w:val="20"/>
          <w:color w:val="auto"/>
        </w:rPr>
      </w:pPr>
      <w:r>
        <w:rPr>
          <w:rFonts w:ascii="Times New Roman" w:cs="Times New Roman" w:eastAsia="Times New Roman" w:hAnsi="Times New Roman"/>
          <w:sz w:val="14"/>
          <w:szCs w:val="14"/>
          <w:color w:val="auto"/>
        </w:rPr>
        <w:t>Digital Realty Trust, Inc. is the operating partnership’s “partnership representative” for U.S. federal income tax purposes and, as such, it has authority under the Code to handle tax audits and other proceedings on the operating partnership’s behalf. Further, as the operating partnership’s general partner, Digital Realty Trust, Inc. generally has the authority to make tax elections under the Code on the operating partnership’s behalf.</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Allocations of Net Income and Net Losses to Partners</w:t>
      </w:r>
    </w:p>
    <w:p>
      <w:pPr>
        <w:spacing w:after="0" w:line="95"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The operating partnership’s net income will generally be allocated to Digital Realty Trust, Inc. to the extent of the accrued preferred return on its preferred units, and then to Digital Realty Trust, Inc., as general partner, and the limited partners in accordance with the respective percentage interests in the common units issued by the operating partnership. Net loss will generally be allocated to Digital Realty Trust, Inc., as general partner, and the limited partners in accordance with the respective common percentage interests in the operating partnership until the limited partner’s capital is reduced to zero and any remaining net loss would be allocated to Digital Realty Trust, Inc. However, in some cases, losses may be disproportionately allocated to partners who have guaranteed our debt. The allocations described above are subject to special allocations relating to depreciation deductions and to compliance with the provisions of Sections 704(b) and 704(c) of the Code and the associated Treasury Regulations.</w:t>
      </w:r>
    </w:p>
    <w:p>
      <w:pPr>
        <w:spacing w:after="0" w:line="145"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 xml:space="preserve">In addition, Digital Realty Trust, Inc. may from time to time issue long-term incentive units, which are also referred to as profits interest units, to persons who provide services to the company for such consideration or for no consideration as it may determine to be appropriate, and admit such persons as limited partners. The long-term incentive units are similar to the operating partnership’s common units in many respects and rank </w:t>
      </w:r>
      <w:r>
        <w:rPr>
          <w:rFonts w:ascii="Times New Roman" w:cs="Times New Roman" w:eastAsia="Times New Roman" w:hAnsi="Times New Roman"/>
          <w:sz w:val="14"/>
          <w:szCs w:val="14"/>
          <w:i w:val="1"/>
          <w:iCs w:val="1"/>
          <w:color w:val="auto"/>
        </w:rPr>
        <w:t>pari passu</w:t>
      </w:r>
      <w:r>
        <w:rPr>
          <w:rFonts w:ascii="Times New Roman" w:cs="Times New Roman" w:eastAsia="Times New Roman" w:hAnsi="Times New Roman"/>
          <w:sz w:val="14"/>
          <w:szCs w:val="14"/>
          <w:color w:val="auto"/>
        </w:rPr>
        <w:t xml:space="preserve"> with the operating partnership’s common units as to the payment of regular and special periodic or other distributions except liquidating distributions. The long-term incentive units may be subject to vesting requirements. Initially, long-term incentive units do not have full parity with common units with respect to liquidating distributions. If such parity is reached, vested long-term incentive units may be converted into an equal number of common units of the operating partnership at any time, and thereafter enjoy all the rights of common units of the operating partnership, including redemption rights.</w:t>
      </w:r>
    </w:p>
    <w:p>
      <w:pPr>
        <w:spacing w:after="0" w:line="145"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In order to achieve full parity with common units, long-term incentive units must be fully vested and the holder’s capital account balance in respect of such long-term incentive units must be equal to the capital account balance of a holder of an equivalent number of common units. The capital account balance attributable to each common unit is generally expected to be the same, in part because of the amount credited to a partner’s capital account upon their contribution of property to the operating partnership, and in part because the partnership agreement provides, in most cases, that allocations of income, gain, loss and deduction (which will adjust the partners’ capital accounts) are to be made to the common units on a proportionate basis. As a result, with respect to a number of long-term incentive units, it is possible to determine the capital account balance of an equivalent number of common units by multiplying the number of long-term incentive units by the capital account balance with respect to a common unit.</w:t>
      </w:r>
    </w:p>
    <w:p>
      <w:pPr>
        <w:spacing w:after="0" w:line="145" w:lineRule="exact"/>
        <w:rPr>
          <w:sz w:val="20"/>
          <w:szCs w:val="20"/>
          <w:color w:val="auto"/>
        </w:rPr>
      </w:pPr>
    </w:p>
    <w:p>
      <w:pPr>
        <w:ind w:left="1320" w:right="279"/>
        <w:spacing w:after="0" w:line="257" w:lineRule="auto"/>
        <w:rPr>
          <w:sz w:val="20"/>
          <w:szCs w:val="20"/>
          <w:color w:val="auto"/>
        </w:rPr>
      </w:pPr>
      <w:r>
        <w:rPr>
          <w:rFonts w:ascii="Times New Roman" w:cs="Times New Roman" w:eastAsia="Times New Roman" w:hAnsi="Times New Roman"/>
          <w:sz w:val="14"/>
          <w:szCs w:val="14"/>
          <w:color w:val="auto"/>
        </w:rPr>
        <w:t>A partner’s initial capital account balance is equal to the amount the partner paid (or contributed to the operating partnership) for its units and is subject to subsequent adjustments, including with respect to the partner’s share of income, gain or loss of the operating partnership. Because a holder of long-term incentive units generally will not pay for the long-term incentive units, the initial capital account balance attributable to such long-term incentive units will be zero. However, the operating partnership is required to allocate income, gain, loss and deduction to the partners’ capital accounts in accordance with the terms of the partnership agreement, subject to applicable Treasury Regulations. The partnership agreement provides that holders of long-term incentive units will receive special allocations of gain in the event of a sale or “hypothetical sale” of assets of the operating partnership prior to the allocation of gain to Digital Realty Trust, Inc. or other limited partners with respect to their common units. The amount of such allocation will, to the extent of any such gain, be equal to the difference between the capital</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42</w:t>
      </w:r>
    </w:p>
    <w:p>
      <w:pPr>
        <w:sectPr>
          <w:pgSz w:w="11900" w:h="16838" w:orient="portrait"/>
          <w:cols w:equalWidth="0" w:num="1">
            <w:col w:w="10159"/>
          </w:cols>
          <w:pgMar w:left="300" w:top="388" w:right="1440"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account balance of a holder of long-term incentive units attributable to such units and the capital account balance attributable to an equivalent number of common units. If and when such gain allocation is fully made, a holder of long-term incentive units will have achieved full parity with holders of common units. To the extent that, upon an actual sale or a “hypothetical sale” of the operating partnership’s assets as described above, there is not sufficient gain to allocate to a holder’s capital account with respect to long-term incentive units, or if such sale or “hypothetical sale” does not occur, such units will not achieve parity with common units.</w:t>
      </w:r>
    </w:p>
    <w:p>
      <w:pPr>
        <w:spacing w:after="0" w:line="142"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The term “hypothetical sale” refers to circumstances that are not actual sales of the operating partnership’s assets but that require certain adjustments to the value of the operating partnership’s assets and the partners’ capital account balances. Specifically, the partnership agreement provides that, from time to time, in accordance with applicable Treasury Regulations, the operating partnership will adjust the value of its assets to equal their respective fair market values, and adjust the partners’ capital accounts, in accordance with the terms of the partnership agreement, as if the operating partnership sold its assets for an amount equal to their value. Times for making such adjustments generally include the liquidation of the operating partnership, the acquisition of an additional interest in the operating partnership by a new or existing partner in exchange for more than a de minimis capital contribution, the distribution by the operating partnership to a partner of more than a de minimis amount of partnership property as consideration for an interest in the operating partnership, in connection with the grant of an interest in the operating partnership (other than a de minimis interest) as consideration for the performance of services to or for the benefit of the operating partnership (including the grant of a long-term incentive unit), the issuance by the operating partnership of certain noncompensatory options, the acquisition of a partnership interest upon the exercise of a noncompensatory option and at such other times as may be desirable or required to comply with the Treasury Regulations.</w:t>
      </w:r>
    </w:p>
    <w:p>
      <w:pPr>
        <w:spacing w:after="0" w:line="146"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The operating partnership may also from time to time issue class C units or class D units to persons who provide services to it for such consideration or for no consideration as it may determine to be appropriate. If all applicable performance and other vesting conditions are satisfied with respect to a class C unit or a class D unit, the class C unit or class D unit, as applicable, will be treated in the same manner as the long-term incentive units issued by the operating partnership. Class C units and class D units are not entitled to quarterly distributions prior to the satisfaction of all applicable performance conditions. In addition, the operating partnership may issue class D units that are subject to performance vesting, which generally receive quarterly per-unit distributions equal to ten percent of the distributions made with respect to an equivalent number of common units. Class C units and class D units, other than class D units that are not performance vested, are subject to the same conditions as other long-term incentive units with respect to achieving full parity with common units.</w:t>
      </w:r>
    </w:p>
    <w:p>
      <w:pPr>
        <w:spacing w:after="0" w:line="23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95"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The partnership agreement provides that Digital Realty Trust, Inc., as general partner, will determine in its discretion and distribute available cash on a quarterly basis, pro rata in accordance with the partners’ percentage interests. Available cash is the operating partnership’s net operating cash flow plus the reduction of any reserves and minus principal payment on debt and capital expenditures, investments in any entity, and increase in reserves or working capital accounts and any amounts paid in redemption of limited partner interests.</w:t>
      </w:r>
    </w:p>
    <w:p>
      <w:pPr>
        <w:spacing w:after="0" w:line="140"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The partnership agreement provides that the operating partnership will assume and pay when due, or reimburse Digital Realty Trust, Inc. for payment of all costs and expenses relating to the operating partnership’s operations, or for the operating partnership’s benefit.</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Termination Transactions</w:t>
      </w:r>
    </w:p>
    <w:p>
      <w:pPr>
        <w:spacing w:after="0" w:line="95" w:lineRule="exact"/>
        <w:rPr>
          <w:sz w:val="20"/>
          <w:szCs w:val="20"/>
          <w:color w:val="auto"/>
        </w:rPr>
      </w:pPr>
    </w:p>
    <w:p>
      <w:pPr>
        <w:ind w:left="1320" w:right="379"/>
        <w:spacing w:after="0" w:line="269" w:lineRule="auto"/>
        <w:rPr>
          <w:sz w:val="20"/>
          <w:szCs w:val="20"/>
          <w:color w:val="auto"/>
        </w:rPr>
      </w:pPr>
      <w:r>
        <w:rPr>
          <w:rFonts w:ascii="Times New Roman" w:cs="Times New Roman" w:eastAsia="Times New Roman" w:hAnsi="Times New Roman"/>
          <w:sz w:val="14"/>
          <w:szCs w:val="14"/>
          <w:color w:val="auto"/>
        </w:rPr>
        <w:t>The partnership agreement provides that Digital Realty Trust, Inc. may not engage in any merger, consolidation or other combination with or into another person, sale of all or substantially all of its assets or any reclassification or any recapitalization or change in outstanding shares of its common stock, which we refer to as a termination transaction, unless in connection with a termination transaction: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43</w:t>
      </w:r>
    </w:p>
    <w:p>
      <w:pPr>
        <w:sectPr>
          <w:pgSz w:w="11900" w:h="16838" w:orient="portrait"/>
          <w:cols w:equalWidth="0" w:num="1">
            <w:col w:w="10159"/>
          </w:cols>
          <w:pgMar w:left="300" w:top="388" w:right="1440"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740" w:right="379" w:hanging="421"/>
        <w:spacing w:after="0" w:line="286" w:lineRule="auto"/>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obtains the consent of the holders of at least 35% of the operating partnership’s common units and long-term incentive units (including units held by it), and</w:t>
      </w:r>
    </w:p>
    <w:p>
      <w:pPr>
        <w:spacing w:after="0" w:line="50" w:lineRule="exact"/>
        <w:rPr>
          <w:rFonts w:ascii="Times New Roman" w:cs="Times New Roman" w:eastAsia="Times New Roman" w:hAnsi="Times New Roman"/>
          <w:sz w:val="14"/>
          <w:szCs w:val="14"/>
          <w:color w:val="auto"/>
        </w:rPr>
      </w:pPr>
    </w:p>
    <w:p>
      <w:pPr>
        <w:ind w:left="1740" w:hanging="421"/>
        <w:spacing w:after="0"/>
        <w:tabs>
          <w:tab w:leader="none" w:pos="17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w:t>
      </w:r>
    </w:p>
    <w:p>
      <w:pPr>
        <w:spacing w:after="0" w:line="104" w:lineRule="exact"/>
        <w:rPr>
          <w:rFonts w:ascii="Times New Roman" w:cs="Times New Roman" w:eastAsia="Times New Roman" w:hAnsi="Times New Roman"/>
          <w:sz w:val="14"/>
          <w:szCs w:val="14"/>
          <w:color w:val="auto"/>
        </w:rPr>
      </w:pPr>
    </w:p>
    <w:p>
      <w:pPr>
        <w:ind w:left="2260" w:right="639" w:hanging="517"/>
        <w:spacing w:after="0" w:line="286" w:lineRule="auto"/>
        <w:tabs>
          <w:tab w:leader="none" w:pos="226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limited partners will receive, or have the right to elect to receive, for each common unit an amount of cash, securities or other property equal to the product of:</w:t>
      </w:r>
    </w:p>
    <w:p>
      <w:pPr>
        <w:spacing w:after="0" w:line="50"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Digital Realty Trust, Inc. common stock into which each unit is then exchangeable, and</w:t>
      </w:r>
    </w:p>
    <w:p>
      <w:pPr>
        <w:spacing w:after="0" w:line="104" w:lineRule="exact"/>
        <w:rPr>
          <w:rFonts w:ascii="Times New Roman" w:cs="Times New Roman" w:eastAsia="Times New Roman" w:hAnsi="Times New Roman"/>
          <w:sz w:val="14"/>
          <w:szCs w:val="14"/>
          <w:color w:val="auto"/>
        </w:rPr>
      </w:pPr>
    </w:p>
    <w:p>
      <w:pPr>
        <w:ind w:left="2440" w:right="219" w:hanging="262"/>
        <w:spacing w:after="0" w:line="286" w:lineRule="auto"/>
        <w:tabs>
          <w:tab w:leader="none" w:pos="2440" w:val="left"/>
        </w:tabs>
        <w:numPr>
          <w:ilvl w:val="2"/>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greatest amount of cash, securities or other property paid to the holder of one share of Digital Realty Trust, Inc. common stock in consideration of one share of Digital Realty Trust, Inc. common stock in connection with the termination transaction,</w:t>
      </w:r>
    </w:p>
    <w:p>
      <w:pPr>
        <w:spacing w:after="0" w:line="40" w:lineRule="exact"/>
        <w:rPr>
          <w:sz w:val="20"/>
          <w:szCs w:val="20"/>
          <w:color w:val="auto"/>
        </w:rPr>
      </w:pPr>
    </w:p>
    <w:p>
      <w:pPr>
        <w:ind w:left="1660" w:right="199"/>
        <w:spacing w:after="0" w:line="261" w:lineRule="auto"/>
        <w:rPr>
          <w:sz w:val="20"/>
          <w:szCs w:val="20"/>
          <w:color w:val="auto"/>
        </w:rPr>
      </w:pPr>
      <w:r>
        <w:rPr>
          <w:rFonts w:ascii="Times New Roman" w:cs="Times New Roman" w:eastAsia="Times New Roman" w:hAnsi="Times New Roman"/>
          <w:sz w:val="14"/>
          <w:szCs w:val="14"/>
          <w:color w:val="auto"/>
        </w:rPr>
        <w:t>provided that, if, in connection with a termination transaction, a purchase, tender or exchange offer is made to and accepted by the holders of more than 50% of the outstanding shares of Digital Realty Trust, Inc. common stock, each holder of common units will receive, or will have the right to elect to receive, the greatest amount of cash, securities or other property which such holder would have received had it exercised its redemption right and received shares of Digital Realty Trust, Inc. common stock in exchange for its common units immediately prior to the expiration of such purchase, tender or exchange offer and accepted such purchase, tender or exchange offer; or</w:t>
      </w:r>
    </w:p>
    <w:p>
      <w:pPr>
        <w:spacing w:after="0" w:line="68" w:lineRule="exact"/>
        <w:rPr>
          <w:sz w:val="20"/>
          <w:szCs w:val="20"/>
          <w:color w:val="auto"/>
        </w:rPr>
      </w:pPr>
    </w:p>
    <w:p>
      <w:pPr>
        <w:ind w:left="1660" w:hanging="341"/>
        <w:spacing w:after="0"/>
        <w:tabs>
          <w:tab w:leader="none" w:pos="166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following conditions are met:</w:t>
      </w:r>
    </w:p>
    <w:p>
      <w:pPr>
        <w:spacing w:after="0" w:line="104" w:lineRule="exact"/>
        <w:rPr>
          <w:rFonts w:ascii="Times New Roman" w:cs="Times New Roman" w:eastAsia="Times New Roman" w:hAnsi="Times New Roman"/>
          <w:sz w:val="14"/>
          <w:szCs w:val="14"/>
          <w:color w:val="auto"/>
        </w:rPr>
      </w:pPr>
    </w:p>
    <w:p>
      <w:pPr>
        <w:ind w:left="2440" w:right="299" w:hanging="262"/>
        <w:spacing w:after="0" w:line="269" w:lineRule="auto"/>
        <w:tabs>
          <w:tab w:leader="none" w:pos="24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substantially all of the assets of the surviving entity are held directly or indirectly by the operating partnership or another limited partnership or limited liability company which is the surviving partnership of a merger, consolidation or combination of assets with the operating partnership;</w:t>
      </w:r>
    </w:p>
    <w:p>
      <w:pPr>
        <w:spacing w:after="0" w:line="62" w:lineRule="exact"/>
        <w:rPr>
          <w:rFonts w:ascii="Times New Roman" w:cs="Times New Roman" w:eastAsia="Times New Roman" w:hAnsi="Times New Roman"/>
          <w:sz w:val="14"/>
          <w:szCs w:val="14"/>
          <w:color w:val="auto"/>
        </w:rPr>
      </w:pPr>
    </w:p>
    <w:p>
      <w:pPr>
        <w:ind w:left="2440" w:right="339" w:hanging="262"/>
        <w:spacing w:after="0" w:line="269" w:lineRule="auto"/>
        <w:tabs>
          <w:tab w:leader="none" w:pos="24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common units and long-term incentive units own a percentage interest of the surviving partnership based on the relative fair market value of the operating partnership’s net assets and the other net assets of the surviving partnership immediately prior to the consummation of this transaction;</w:t>
      </w:r>
    </w:p>
    <w:p>
      <w:pPr>
        <w:spacing w:after="0" w:line="62" w:lineRule="exact"/>
        <w:rPr>
          <w:rFonts w:ascii="Times New Roman" w:cs="Times New Roman" w:eastAsia="Times New Roman" w:hAnsi="Times New Roman"/>
          <w:sz w:val="14"/>
          <w:szCs w:val="14"/>
          <w:color w:val="auto"/>
        </w:rPr>
      </w:pPr>
    </w:p>
    <w:p>
      <w:pPr>
        <w:ind w:left="2440" w:right="499" w:hanging="262"/>
        <w:spacing w:after="0" w:line="269" w:lineRule="auto"/>
        <w:tabs>
          <w:tab w:leader="none" w:pos="24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preferences and privileges of such unit holders in the surviving partnership are at least as favorable as those in effect immediately prior to the consummation of the transaction and as those applicable to any other limited partners or non-managing members of the surviving partnership; and</w:t>
      </w:r>
    </w:p>
    <w:p>
      <w:pPr>
        <w:spacing w:after="0" w:line="62" w:lineRule="exact"/>
        <w:rPr>
          <w:rFonts w:ascii="Times New Roman" w:cs="Times New Roman" w:eastAsia="Times New Roman" w:hAnsi="Times New Roman"/>
          <w:sz w:val="14"/>
          <w:szCs w:val="14"/>
          <w:color w:val="auto"/>
        </w:rPr>
      </w:pPr>
    </w:p>
    <w:p>
      <w:pPr>
        <w:ind w:left="2440" w:right="259" w:hanging="262"/>
        <w:spacing w:after="0" w:line="261" w:lineRule="auto"/>
        <w:tabs>
          <w:tab w:leader="none" w:pos="2440" w:val="left"/>
        </w:tabs>
        <w:numPr>
          <w:ilvl w:val="1"/>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limited partners may exchange their interests in the surviving partnership for either the consideration available to the limited partners pursuant to paragraph (A) in this section, or the right to redeem their common units for cash on terms equivalent to those in effect with respect to their common units immediately prior to the consummation of the transaction, or, if the ultimate controlling person of the surviving partnership has publicly traded common equity securities, shares of those common equity securities, at an exchange ratio based on the relative fair market value of those securities and Digital Realty Trust, Inc. common stock.</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Term</w:t>
      </w:r>
    </w:p>
    <w:p>
      <w:pPr>
        <w:spacing w:after="0" w:line="95" w:lineRule="exact"/>
        <w:rPr>
          <w:sz w:val="20"/>
          <w:szCs w:val="20"/>
          <w:color w:val="auto"/>
        </w:rPr>
      </w:pPr>
    </w:p>
    <w:p>
      <w:pPr>
        <w:ind w:left="1320" w:right="519"/>
        <w:spacing w:after="0" w:line="286" w:lineRule="auto"/>
        <w:rPr>
          <w:sz w:val="20"/>
          <w:szCs w:val="20"/>
          <w:color w:val="auto"/>
        </w:rPr>
      </w:pPr>
      <w:r>
        <w:rPr>
          <w:rFonts w:ascii="Times New Roman" w:cs="Times New Roman" w:eastAsia="Times New Roman" w:hAnsi="Times New Roman"/>
          <w:sz w:val="14"/>
          <w:szCs w:val="14"/>
          <w:color w:val="auto"/>
        </w:rPr>
        <w:t>The operating partnership will continue in full force and effect until December 31, 2104, or until sooner dissolved in accordance with the operating partnership’s terms or as otherwise provided by law.</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 and Limitation of Liability</w:t>
      </w:r>
    </w:p>
    <w:p>
      <w:pPr>
        <w:spacing w:after="0" w:line="95"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To the extent permitted by applicable law, the partnership agreement indemnifies Digital Realty Trust, Inc., as general partner, and its officers, directors, employees, agents and any other persons it may designate from and against any and all claims arising from the operating partnership’s operations in which any indemnitee may be involved, or is threatened to be involved, as a party or otherwise, unless it is established that:</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44</w:t>
      </w:r>
    </w:p>
    <w:p>
      <w:pPr>
        <w:sectPr>
          <w:pgSz w:w="11900" w:h="16838" w:orient="portrait"/>
          <w:cols w:equalWidth="0" w:num="1">
            <w:col w:w="10159"/>
          </w:cols>
          <w:pgMar w:left="300" w:top="388" w:right="1440"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619" w:hanging="337"/>
        <w:spacing w:after="0" w:line="286" w:lineRule="auto"/>
        <w:tabs>
          <w:tab w:leader="none" w:pos="2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or omission of the indemnitee was material to the matter giving rise to the proceeding and either was committed in bad faith, constituted fraud or was the result of active and deliberate dishonesty;</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indemnitee actually received an improper personal benefit in money, property or services;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criminal proceeding, the indemnitee had reasonable cause to believe that the act or omission was unlawful.</w:t>
      </w:r>
    </w:p>
    <w:p>
      <w:pPr>
        <w:spacing w:after="0" w:line="178" w:lineRule="exact"/>
        <w:rPr>
          <w:sz w:val="20"/>
          <w:szCs w:val="20"/>
          <w:color w:val="auto"/>
        </w:rPr>
      </w:pPr>
    </w:p>
    <w:p>
      <w:pPr>
        <w:ind w:left="1320" w:right="359"/>
        <w:spacing w:after="0" w:line="269" w:lineRule="auto"/>
        <w:rPr>
          <w:sz w:val="20"/>
          <w:szCs w:val="20"/>
          <w:color w:val="auto"/>
        </w:rPr>
      </w:pPr>
      <w:r>
        <w:rPr>
          <w:rFonts w:ascii="Times New Roman" w:cs="Times New Roman" w:eastAsia="Times New Roman" w:hAnsi="Times New Roman"/>
          <w:sz w:val="14"/>
          <w:szCs w:val="14"/>
          <w:color w:val="auto"/>
        </w:rPr>
        <w:t>Similarly, Digital Realty Trust, Inc., as the operating partnership’s general partner, and its officers, directors, agents or employees, are not liable or accountable to the operating partnership for losses sustained, liabilities incurred or benefits not derived as a result of errors in judgment or mistakes of fact or law or any act or omission so long as Digital Realty Trust, Inc. acted in good faith.</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45</w:t>
      </w:r>
    </w:p>
    <w:p>
      <w:pPr>
        <w:sectPr>
          <w:pgSz w:w="11900" w:h="16838" w:orient="portrait"/>
          <w:cols w:equalWidth="0" w:num="1">
            <w:col w:w="10159"/>
          </w:cols>
          <w:pgMar w:left="300" w:top="388"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MATERIAL PROVISIONS OF MARYLAND LAW AND OF THE CHARTER AND BYLAWS OF DIGITAL REALTY TRUST, INC.</w:t>
      </w:r>
    </w:p>
    <w:p>
      <w:pPr>
        <w:spacing w:after="0" w:line="178" w:lineRule="exact"/>
        <w:rPr>
          <w:sz w:val="20"/>
          <w:szCs w:val="20"/>
          <w:color w:val="auto"/>
        </w:rPr>
      </w:pPr>
    </w:p>
    <w:p>
      <w:pPr>
        <w:ind w:left="1320" w:right="199"/>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summary of certain provisions of Maryland law and of Digital Realty Trust, Inc.’s charter and bylaws does not purport to be complete and is subject to and qualified in its entirety by reference to Maryland law and the company’s charter and bylaws, copies of which are exhibits to the registration statement of which this prospectus is a part. See “Where You Can Find More Information.”</w:t>
      </w:r>
    </w:p>
    <w:p>
      <w:pPr>
        <w:spacing w:after="0" w:line="21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The Company’s Board of Directors</w:t>
      </w:r>
    </w:p>
    <w:p>
      <w:pPr>
        <w:spacing w:after="0" w:line="95"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The company’s bylaws provide that the number of directors of the company may be established by the company’s board of directors but may not be fewer than the minimum number permitted under the MGCL or more than 15. Except as may be provided by the company’s board of directors in setting the terms of any class or series of stock, any vacancy may be filled only by a vote of a majority of the remaining directors, even if the remaining directors do not constitute a quorum. Any director elected to fill a vacancy shall serve for the remainder of the full term of the directorship in which the vacancy occurred and until a successor is elected and qualifies.</w:t>
      </w:r>
    </w:p>
    <w:p>
      <w:pPr>
        <w:spacing w:after="0" w:line="142"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Each of the company’s directors is elected by the company’s common stockholders to serve until the next annual meeting and until their successors are duly elected and qualify. Holders of shares of the company’s common stock will have no right to cumulative voting in the election of directors. Consequently, at each annual meeting of stockholders, the holders of a majority of the shares of the common stock will be able to elect all of the company’s directors. Additionally, in the event that the company is in arrears on dividends on the company’s series J preferred stock, series K preferred stock or series L preferred stock for six or more quarterly periods, whether or not consecutive, holders of the company’s series J preferred stock, series K preferred stock or series L preferred stock as the case may be, voting as a single class with all other series of preferred stock upon which like voting rights have been conferred and are exercisable, will have the right to elect two additional directors to the company’s board for a limited time.</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Removal of Directors</w:t>
      </w:r>
    </w:p>
    <w:p>
      <w:pPr>
        <w:spacing w:after="0" w:line="9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The company’s charter provides that a director may be removed only for cause (as defined in the company’s charter) and only by the affirmative vote of stockholders entitled to cast at least two-thirds of the votes entitled to be cast generally in the election of directors. This provision, when coupled with the exclusive power of the company’s board of directors to fill vacant directorships, precludes stockholders from (1) removing incumbent directors except upon the existence of cause for removal and a substantial affirmative vote and (2) filling the vacancies created by such removal with their own nominees. In addition, any director elected to the company’s board by the holders of the company’s preferred stock may only be removed by a vote of preferred stockholders.</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5"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Under the MGCL, certain “business combinations” (including a merger, consolidation, share exchange or, in certain circumstances, an asset transfer or issuance or reclassification of equity securities) between a Maryland corporation and any interested stockholder, or an affiliate of such an interested stockholder, are prohibited for five years after the most recent date on which the interested stockholder becomes an interested stockholder. Maryland law defines an interested stockholder as any person who beneficially owns, directly or indirectly, 10% or more of the voting power of the corporation’s outstanding voting stock or an affiliate or associate of the corporation who, at any time within the two-year period prior to the date in question, was the beneficial owner of, directly or indirectly, 10% or more of the voting power of the then outstanding stock of the corporation. A person is not an interested stockholder under the statute if the board of directors approved in advance the transaction by which the person otherwise would have become an interested stockholder. The company’s board of directors may provide that its approval is subject to compliance with any terms and conditions determined by it.</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46</w:t>
      </w:r>
    </w:p>
    <w:p>
      <w:pPr>
        <w:sectPr>
          <w:pgSz w:w="11900" w:h="16838" w:orient="portrait"/>
          <w:cols w:equalWidth="0" w:num="1">
            <w:col w:w="10159"/>
          </w:cols>
          <w:pgMar w:left="300" w:top="388" w:right="1440"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After such five-year period, any such business combination must be recommended by the board of directors of such corporation and approved by the affirmative vote of at least (1) 80% of the votes entitled to be cast by holders of outstanding shares of voting stock of the corporation and (2) two-thirds of the votes entitled to be cast by holders of voting stock of the corporation other than shares held by the interested stockholder with whom (or with whose affiliate) the business combination is to be effected or by an affiliate or associate of the interested stockholder, unless, among other conditions, the corporation’s common stockholders receive a minimum price (as defined in the MGCL) for their shares and the consideration is received in cash or in the same form as previously paid by the interested stockholder for its shares.</w:t>
      </w:r>
    </w:p>
    <w:p>
      <w:pPr>
        <w:spacing w:after="0" w:line="145"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These provisions of the MGCL do not apply, however, to business combinations that are approved or exempted by a board of directors prior to the time that the interested stockholder becomes an interested stockholder. Pursuant to the statute, the company’s board of directors has by resolution opted out of the business combination provisions of the MGCL and, consequently, the five-year prohibition and the supermajority vote requirements will not apply to business combinations between us and any interested stockholder of the company. As a result, anyone who later becomes an interested stockholder may be able to enter into business combinations with the company that may not be in the best interest of the company’s stockholders without compliance by the company with the super-majority vote requirements and the other provisions of the statute. The company cannot assure you that its board of directors will not opt to be subject to such business combination provisions in the future.</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Control Share Acquisitions</w:t>
      </w:r>
    </w:p>
    <w:p>
      <w:pPr>
        <w:spacing w:after="0" w:line="95" w:lineRule="exact"/>
        <w:rPr>
          <w:sz w:val="20"/>
          <w:szCs w:val="20"/>
          <w:color w:val="auto"/>
        </w:rPr>
      </w:pPr>
    </w:p>
    <w:p>
      <w:pPr>
        <w:ind w:left="1320" w:right="259"/>
        <w:spacing w:after="0" w:line="256" w:lineRule="auto"/>
        <w:rPr>
          <w:sz w:val="20"/>
          <w:szCs w:val="20"/>
          <w:color w:val="auto"/>
        </w:rPr>
      </w:pPr>
      <w:r>
        <w:rPr>
          <w:rFonts w:ascii="Times New Roman" w:cs="Times New Roman" w:eastAsia="Times New Roman" w:hAnsi="Times New Roman"/>
          <w:sz w:val="14"/>
          <w:szCs w:val="14"/>
          <w:color w:val="auto"/>
        </w:rPr>
        <w:t>The MGCL provides that “control shares” of a Maryland corporation acquired in a “control share acquisition” have no voting rights except to the extent approved at a special meeting by the affirmative vote of stockholders entitled to cast two-thirds of the votes entitled to be cast on the matter, excluding shares of stock in a corporation in respect of which any of the following persons is entitled to exercise or direct the exercise of the voting power of shares of stock of the corporation in the election of directors: (1) a person who makes or proposes to make a control share acquisition, (2) an officer of the corporation or (3) an employee of the corporation who is also a director of the corporation. “Control shares” are voting shares of stock which, if aggregated with all other such shares of stock previously acquired by the acquiror or in respect of which the acquiror is able to exercise or direct the exercise of voting power (except solely by virtue of a revocable proxy), would entitle the acquiror to exercise voting power in electing directors within one of the following ranges of voting power: (1) one-tenth or more but less than one-third, (2) one-third or more but less than a majority, or (3) a majority or more of all voting power.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46" w:lineRule="exact"/>
        <w:rPr>
          <w:sz w:val="20"/>
          <w:szCs w:val="20"/>
          <w:color w:val="auto"/>
        </w:rPr>
      </w:pPr>
    </w:p>
    <w:p>
      <w:pPr>
        <w:ind w:left="1320" w:right="359"/>
        <w:spacing w:after="0" w:line="269" w:lineRule="auto"/>
        <w:rPr>
          <w:sz w:val="20"/>
          <w:szCs w:val="20"/>
          <w:color w:val="auto"/>
        </w:rPr>
      </w:pPr>
      <w:r>
        <w:rPr>
          <w:rFonts w:ascii="Times New Roman" w:cs="Times New Roman" w:eastAsia="Times New Roman" w:hAnsi="Times New Roman"/>
          <w:sz w:val="14"/>
          <w:szCs w:val="14"/>
          <w:color w:val="auto"/>
        </w:rPr>
        <w:t>A person who has made or proposes to make a control share acquisition, upon satisfaction of certain conditions (including an undertaking to pay expenses), may compel the company’s board of directors to call a special meeting of stockholders to be held within 50 days of demand to consider the voting rights of the control shares. If no request for a meeting is made, the corporation may itself present the question at any stockholders’ meeting.</w:t>
      </w:r>
    </w:p>
    <w:p>
      <w:pPr>
        <w:spacing w:after="0" w:line="137"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If voting rights of control shares are not approved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approved) for fair value determined, without regard to the absence of voting rights for the control shares, as of the date of any meeting of stockholders at which the voting rights of such shares are considered and not approved or, if no such meeting is held, as of the date of the last control share acquisition by the acquiror. If voting rights for control shares are approved at a stockholders’ meeting and the acquiror becomes entitled to vote a majority of the shares entitled to vote, all other stockholders may exercise appraisal rights. The fair value of the shares as determined for purposes of such appraisal rights may not be less than the highest price per share paid by the acquiror in the control share acquisition.</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47</w:t>
      </w:r>
    </w:p>
    <w:p>
      <w:pPr>
        <w:sectPr>
          <w:pgSz w:w="11900" w:h="16838" w:orient="portrait"/>
          <w:cols w:equalWidth="0" w:num="1">
            <w:col w:w="10159"/>
          </w:cols>
          <w:pgMar w:left="300" w:top="388"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86" w:lineRule="auto"/>
        <w:rPr>
          <w:sz w:val="20"/>
          <w:szCs w:val="20"/>
          <w:color w:val="auto"/>
        </w:rPr>
      </w:pPr>
      <w:r>
        <w:rPr>
          <w:rFonts w:ascii="Times New Roman" w:cs="Times New Roman" w:eastAsia="Times New Roman" w:hAnsi="Times New Roman"/>
          <w:sz w:val="14"/>
          <w:szCs w:val="14"/>
          <w:color w:val="auto"/>
        </w:rPr>
        <w:t>The control share acquisition statute does not apply (1) to shares acquired in a merger, consolidation or share exchange if the corporation is a party to the transaction or (2) to acquisitions approved or exempted by the charter or bylaws of the corporation.</w:t>
      </w:r>
    </w:p>
    <w:p>
      <w:pPr>
        <w:spacing w:after="0" w:line="125"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The company’s bylaws contain a provision exempting from the control share acquisition statute any and all acquisitions by any person of the company’s stock. The company cannot provide you any assurance that its board of directors will not amend or eliminate this provision at any time in the future.</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Subtitle 8</w:t>
      </w:r>
    </w:p>
    <w:p>
      <w:pPr>
        <w:spacing w:after="0" w:line="95" w:lineRule="exact"/>
        <w:rPr>
          <w:sz w:val="20"/>
          <w:szCs w:val="20"/>
          <w:color w:val="auto"/>
        </w:rPr>
      </w:pPr>
    </w:p>
    <w:p>
      <w:pPr>
        <w:ind w:left="1320" w:right="319"/>
        <w:spacing w:after="0" w:line="255" w:lineRule="auto"/>
        <w:rPr>
          <w:sz w:val="20"/>
          <w:szCs w:val="20"/>
          <w:color w:val="auto"/>
        </w:rPr>
      </w:pPr>
      <w:r>
        <w:rPr>
          <w:rFonts w:ascii="Times New Roman" w:cs="Times New Roman" w:eastAsia="Times New Roman" w:hAnsi="Times New Roman"/>
          <w:sz w:val="14"/>
          <w:szCs w:val="14"/>
          <w:color w:val="auto"/>
        </w:rPr>
        <w:t>Title 3, Subtitle 8 of the MGCL permits a Maryland corporation with a class of equity securities registered under the Exchange Act and at least three independent directors to elect to be subject, by provision in its charter or bylaws or a resolution of its board of directors and notwithstanding any contrary provision in the charter or bylaws, to any of (1) a classified board of directors, (2) a two-thirds vote requirement for removing a director, (3) a requirement that the number of directors be fixed only by vote of the directors, (4) a requirement that a vacancy on the board of directors be filled only by the remaining directors and for the remainder of the full term of the class of directors in which the vacancy occurred, or (5) a majority requirement for the calling of a stockholder-requested special meeting of stockholders. Pursuant to Subtitle 8, the company has elected to provide that vacancies on its board of directors may be filled only by the remaining directors and for the remainder of the full term of the directorship in which the vacancy occurred. Through provisions in the company’s charter and bylaws unrelated to Subtitle 8, the company already requires a two-thirds vote for the removal of any director from the board of directors, vests in the board of directors the exclusive power to fix the number of directorships and requires, unless called by the chair of the company’s board of directors, or the company’s president, chief executive officer or board of directors, the written request of stockholders entitled to cast a majority of all the votes entitled to be cast on any matter that may be properly considered at a meeting of stockholders to call a special meeting to act on such matter.</w:t>
      </w:r>
    </w:p>
    <w:p>
      <w:pPr>
        <w:spacing w:after="0" w:line="2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Amendments to the Company’s Charter and Bylaws</w:t>
      </w:r>
    </w:p>
    <w:p>
      <w:pPr>
        <w:spacing w:after="0" w:line="95"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The company’s charter generally may be amended only if such amendment is declared advisable by the company’s board of directors and approved by the affirmative vote of stockholders entitled to cast a majority of all of the votes entitled to be cast on the matter. In the case of an amendment that would materially and adversely affect the company’s series J preferred stock, series K preferred stock or series L preferred stock,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is also required. However, the company’s charter’s provisions regarding removal of directors and the vote required for certain amendments may be amended only if such amendment is declared advisable by the company’s board of directors and approved by the affirmative vote of stockholders entitled to cast not less than two-thirds of all the votes entitled to be cast on the matter. The company’s board of directors has the power to adopt, alter or repeal any provision of the company’s bylaws or to make new bylaws. In addition, pursuant to a proposal that is submitted to the stockholders of the company for approval at a duly called annual or special meeting of stockholders in accordance with the company’s bylaws and is otherwise permitted by applicable law, the stockholders of the company may alter or repeal the company’s bylaws, or adopt new bylaws, provided such alteration, repeal or adoption is approved by the affirmative vote of a majority of all the votes entitled to be cast on the matter. However, the stockholders may not alter or repeal, or adopt new bylaws inconsistent with, the provisions of the bylaws relating to indemnification or the amendment of the bylaws without the approval of the company’s board of directors.</w:t>
      </w:r>
    </w:p>
    <w:p>
      <w:pPr>
        <w:spacing w:after="0" w:line="9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48</w:t>
      </w:r>
    </w:p>
    <w:p>
      <w:pPr>
        <w:sectPr>
          <w:pgSz w:w="11900" w:h="16838" w:orient="portrait"/>
          <w:cols w:equalWidth="0" w:num="1">
            <w:col w:w="10159"/>
          </w:cols>
          <w:pgMar w:left="300" w:top="388" w:right="1440"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Transactions Outside the Ordinary Course of Business</w:t>
      </w:r>
    </w:p>
    <w:p>
      <w:pPr>
        <w:spacing w:after="0" w:line="95"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 xml:space="preserve">The company may not merge with or into another company, convert to another entity, sell all or substantially all of its assets, engage in a share exchange or engage in similar transactions outside the ordinary course of business unless the transaction is declared advisable by the company’s board of directors and approved by the affirmative vote of stockholders entitled to cast a majority of all of the votes entitled to be cast on the matter. In the case of any such transaction that would materially and adversely affect the company’s series J preferred stock, series K preferred stock or series L preferred stock, the company will also require the consent of the holders of two-thirds of the outstanding shares of the company’s series J preferred stock, series K preferred stock or series L preferred stock, as the case may be, voting as a single class with all other classes or series of preferred stock ranking on parity with respect to the payment of dividends and distribution of assets upon the company’s liquidation and upon which like voting rights have been conferred,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however, that if, upon the occurrence of such a transaction, series J preferred stock, series K preferred stock or series L preferred stock, as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case may be, remains outstanding with materially unchanged terms, taking into account that the company may not be the surviving entity, then the transaction will not be deemed to materially and adversely affect the company’s series J preferred stock, series K preferred stock or series L preferred stock. Furthermore, the company’s charter expressly provides that the consent of series J, series K or series L preferred stockholders is not required for a transaction if, pursuant to such a transaction, series J, series K and series L preferred stockholders receive the greater of the full trading price of the series J preferred stock, series K preferred stock or series L preferred stock, as the case may be, on the date of the transaction or the liquidation preference.</w:t>
      </w:r>
    </w:p>
    <w:p>
      <w:pPr>
        <w:spacing w:after="0" w:line="200" w:lineRule="exact"/>
        <w:rPr>
          <w:sz w:val="20"/>
          <w:szCs w:val="20"/>
          <w:color w:val="auto"/>
        </w:rPr>
      </w:pPr>
    </w:p>
    <w:p>
      <w:pPr>
        <w:spacing w:after="0" w:line="20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Dissolution of the Company</w:t>
      </w:r>
    </w:p>
    <w:p>
      <w:pPr>
        <w:spacing w:after="0" w:line="95" w:lineRule="exact"/>
        <w:rPr>
          <w:sz w:val="20"/>
          <w:szCs w:val="20"/>
          <w:color w:val="auto"/>
        </w:rPr>
      </w:pPr>
    </w:p>
    <w:p>
      <w:pPr>
        <w:ind w:left="1320" w:right="459"/>
        <w:spacing w:after="0" w:line="286" w:lineRule="auto"/>
        <w:rPr>
          <w:sz w:val="20"/>
          <w:szCs w:val="20"/>
          <w:color w:val="auto"/>
        </w:rPr>
      </w:pPr>
      <w:r>
        <w:rPr>
          <w:rFonts w:ascii="Times New Roman" w:cs="Times New Roman" w:eastAsia="Times New Roman" w:hAnsi="Times New Roman"/>
          <w:sz w:val="14"/>
          <w:szCs w:val="14"/>
          <w:color w:val="auto"/>
        </w:rPr>
        <w:t>The dissolution of the company must be declared advisable by a majority of the company’s entire board of directors and approved by the affirmative vote of stockholders entitled to cast a majority of all of the votes entitled to be cast on the matter.</w:t>
      </w:r>
    </w:p>
    <w:p>
      <w:pPr>
        <w:spacing w:after="0" w:line="29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Advance Notice of Director Nominations and New Business</w:t>
      </w:r>
    </w:p>
    <w:p>
      <w:pPr>
        <w:spacing w:after="0" w:line="9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The company’s bylaws provide that:</w:t>
      </w:r>
    </w:p>
    <w:p>
      <w:pPr>
        <w:spacing w:after="0" w:line="104" w:lineRule="exact"/>
        <w:rPr>
          <w:sz w:val="20"/>
          <w:szCs w:val="20"/>
          <w:color w:val="auto"/>
        </w:rPr>
      </w:pPr>
    </w:p>
    <w:p>
      <w:pPr>
        <w:ind w:left="2080" w:right="519" w:hanging="337"/>
        <w:spacing w:after="0" w:line="286" w:lineRule="auto"/>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an annual meeting of stockholders, nominations of individuals for election to the company’s board of directors and the proposal of business to be considered by stockholders may be made only:</w:t>
      </w:r>
    </w:p>
    <w:p>
      <w:pPr>
        <w:spacing w:after="0" w:line="50"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the company’s notice of the meeting;</w:t>
      </w:r>
    </w:p>
    <w:p>
      <w:pPr>
        <w:spacing w:after="0" w:line="104"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company’s board of directors; or</w:t>
      </w:r>
    </w:p>
    <w:p>
      <w:pPr>
        <w:spacing w:after="0" w:line="104" w:lineRule="exact"/>
        <w:rPr>
          <w:rFonts w:ascii="Times New Roman" w:cs="Times New Roman" w:eastAsia="Times New Roman" w:hAnsi="Times New Roman"/>
          <w:sz w:val="14"/>
          <w:szCs w:val="14"/>
          <w:color w:val="auto"/>
        </w:rPr>
      </w:pPr>
    </w:p>
    <w:p>
      <w:pPr>
        <w:ind w:left="2440" w:right="239" w:hanging="262"/>
        <w:spacing w:after="0" w:line="261" w:lineRule="auto"/>
        <w:tabs>
          <w:tab w:leader="none" w:pos="24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 stockholder who is a stockholder of record at the record date set by the Board of Directors for the purpose of determining stockholders entitled to vote at the annual meeting, at the time of giving the advance notice required by the company’s bylaws and at the time of the meeting (and any postponement or adjournment thereof), who is entitled to vote at the meeting in the election of each individual so nominated or any such other business and who has complied with the advance notice procedures set forth in the company’s bylaws; and</w:t>
      </w:r>
    </w:p>
    <w:p>
      <w:pPr>
        <w:spacing w:after="0" w:line="68" w:lineRule="exact"/>
        <w:rPr>
          <w:rFonts w:ascii="Times New Roman" w:cs="Times New Roman" w:eastAsia="Times New Roman" w:hAnsi="Times New Roman"/>
          <w:sz w:val="14"/>
          <w:szCs w:val="14"/>
          <w:color w:val="auto"/>
        </w:rPr>
      </w:pPr>
    </w:p>
    <w:p>
      <w:pPr>
        <w:ind w:left="2080" w:right="239" w:hanging="337"/>
        <w:spacing w:after="0" w:line="286" w:lineRule="auto"/>
        <w:tabs>
          <w:tab w:leader="none" w:pos="20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respect to special meetings of stockholders, only the business specified in the company’s notice of meeting may be brought before the meeting of stockholders and nominations of individuals for election to the company’s board of directors may be made only:</w:t>
      </w:r>
    </w:p>
    <w:p>
      <w:pPr>
        <w:spacing w:after="0" w:line="50" w:lineRule="exact"/>
        <w:rPr>
          <w:rFonts w:ascii="Times New Roman" w:cs="Times New Roman" w:eastAsia="Times New Roman" w:hAnsi="Times New Roman"/>
          <w:sz w:val="14"/>
          <w:szCs w:val="14"/>
          <w:color w:val="auto"/>
        </w:rPr>
      </w:pPr>
    </w:p>
    <w:p>
      <w:pPr>
        <w:ind w:left="2440" w:hanging="262"/>
        <w:spacing w:after="0"/>
        <w:tabs>
          <w:tab w:leader="none" w:pos="24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or at the direction of the company’s board of directors; or</w:t>
      </w:r>
    </w:p>
    <w:p>
      <w:pPr>
        <w:spacing w:after="0" w:line="104" w:lineRule="exact"/>
        <w:rPr>
          <w:rFonts w:ascii="Times New Roman" w:cs="Times New Roman" w:eastAsia="Times New Roman" w:hAnsi="Times New Roman"/>
          <w:sz w:val="14"/>
          <w:szCs w:val="14"/>
          <w:color w:val="auto"/>
        </w:rPr>
      </w:pPr>
    </w:p>
    <w:p>
      <w:pPr>
        <w:jc w:val="both"/>
        <w:ind w:left="2440" w:right="839" w:hanging="262"/>
        <w:spacing w:after="0" w:line="269" w:lineRule="auto"/>
        <w:tabs>
          <w:tab w:leader="none" w:pos="2440" w:val="left"/>
        </w:tabs>
        <w:numPr>
          <w:ilvl w:val="1"/>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provided that the special meeting has been called in accordance with the bylaws for the purpose of electing directors, by a stockholder who is a stockholder of record at the record date set by the Board of Directors for the purpose of determining stockholders entitled to vote at the annual</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49</w:t>
      </w:r>
    </w:p>
    <w:p>
      <w:pPr>
        <w:sectPr>
          <w:pgSz w:w="11900" w:h="16838" w:orient="portrait"/>
          <w:cols w:equalWidth="0" w:num="1">
            <w:col w:w="10159"/>
          </w:cols>
          <w:pgMar w:left="300" w:top="388" w:right="1440"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440" w:right="459"/>
        <w:spacing w:after="0" w:line="269" w:lineRule="auto"/>
        <w:rPr>
          <w:sz w:val="20"/>
          <w:szCs w:val="20"/>
          <w:color w:val="auto"/>
        </w:rPr>
      </w:pPr>
      <w:r>
        <w:rPr>
          <w:rFonts w:ascii="Times New Roman" w:cs="Times New Roman" w:eastAsia="Times New Roman" w:hAnsi="Times New Roman"/>
          <w:sz w:val="14"/>
          <w:szCs w:val="14"/>
          <w:color w:val="auto"/>
        </w:rPr>
        <w:t>meeting, at the time of giving the advance notice required by the company’s bylaws and at the time of the meeting (and any postponement or adjournment thereof), who is entitled to vote at the meeting and in the election of each individual so nominated who has complied with the advance notice provisions set forth in the company’s bylaws.</w:t>
      </w:r>
    </w:p>
    <w:p>
      <w:pPr>
        <w:spacing w:after="0" w:line="137"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The advance notice procedures of the company’s bylaws provide that, to be timely, a stockholder’s notice with respect to director nominations or proposals for an annual meeting must be delivered to the company’s corporate secretary at the company’s principal executive office not earlier than the 150th day nor later than 5:00 p.m., Central Time, on the 120th day prior to the first anniversary of the date of the proxy statement for the company’s preceding year’s annual meeting. If the date of the annual meeting is advanced or delayed by more than 30 days from the first anniversary of the date of the preceding year’s annual meeting, to be timely, a stockholder’s notice must be delivered not earlier than the 150th day prior to the date of such annual meeting and not later than 5:00 p.m., Central time, on the later of the 120th day prior to the date of such annual meeting, as originally convened, or the tenth day following the day on which public announcement of the date of such meeting is first made.</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Proxy Access</w:t>
      </w:r>
    </w:p>
    <w:p>
      <w:pPr>
        <w:spacing w:after="0" w:line="95" w:lineRule="exact"/>
        <w:rPr>
          <w:sz w:val="20"/>
          <w:szCs w:val="20"/>
          <w:color w:val="auto"/>
        </w:rPr>
      </w:pPr>
    </w:p>
    <w:p>
      <w:pPr>
        <w:ind w:left="1320" w:right="319"/>
        <w:spacing w:after="0" w:line="261" w:lineRule="auto"/>
        <w:rPr>
          <w:sz w:val="20"/>
          <w:szCs w:val="20"/>
          <w:color w:val="auto"/>
        </w:rPr>
      </w:pPr>
      <w:r>
        <w:rPr>
          <w:rFonts w:ascii="Times New Roman" w:cs="Times New Roman" w:eastAsia="Times New Roman" w:hAnsi="Times New Roman"/>
          <w:sz w:val="14"/>
          <w:szCs w:val="14"/>
          <w:color w:val="auto"/>
        </w:rPr>
        <w:t>The company’s bylaws contain proxy access provisions which permit any stockholder or group of up to 20 shareholders owning at least 3% of the company’s outstanding shares of common stock continuously for at least three years to nominate and include up to a specified number of director nominees in the company’s proxy materials for an annual meeting of shareholders. The maximum number of stockholder nominees permitted under these proxy access provisions shall not exceed 20% of the total number of directors in office as of the last day on which a stockholder nomination may be delivered.</w:t>
      </w:r>
    </w:p>
    <w:p>
      <w:pPr>
        <w:spacing w:after="0" w:line="142" w:lineRule="exact"/>
        <w:rPr>
          <w:sz w:val="20"/>
          <w:szCs w:val="20"/>
          <w:color w:val="auto"/>
        </w:rPr>
      </w:pPr>
    </w:p>
    <w:p>
      <w:pPr>
        <w:ind w:left="1320" w:right="279"/>
        <w:spacing w:after="0" w:line="261" w:lineRule="auto"/>
        <w:rPr>
          <w:sz w:val="20"/>
          <w:szCs w:val="20"/>
          <w:color w:val="auto"/>
        </w:rPr>
      </w:pPr>
      <w:r>
        <w:rPr>
          <w:rFonts w:ascii="Times New Roman" w:cs="Times New Roman" w:eastAsia="Times New Roman" w:hAnsi="Times New Roman"/>
          <w:sz w:val="14"/>
          <w:szCs w:val="14"/>
          <w:color w:val="auto"/>
        </w:rPr>
        <w:t>Under such proxy access provisions, a stockholder’s written notice of nominations of individuals for election to the company’s board of directors to be included in the company’s proxy statement for an annual meeting must be delivered to the secretary of the company at the company’s principal executive offices not earlier than the 150th day nor later than 5:00 p.m., Central Time, on the 120th day prior to the anniversary of the date of the proxy statement for the preceding year’s annual meeting of stockholders. Neither the postponement or adjournment of an annual meeting, nor the public disclosure of such postponement or adjournment, commences a new time period for the giving of a stockholder’s written notice.</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Anti-takeover Effect of Certain Provisions of Maryland Law and of the Company’s Charter and Bylaws</w:t>
      </w:r>
    </w:p>
    <w:p>
      <w:pPr>
        <w:spacing w:after="0" w:line="95"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The provisions of the company’s charter on removal of directors and the advance notice provisions of the bylaws could delay, defer or prevent a transaction or a change of control of the company that might involve a premium price for holders of the company’s common stock or otherwise be in their best interest. Likewise, if the company’s board of directors were to opt in to the business combination provisions of the MGCL or the provisions of Title 3, Subtitle 8 of the MGCL not already applicable to the company, or if the provision in the bylaws opting out of the control share acquisition provisions of the MGCL were rescinded, these provisions of the MGCL could have similar anti-takeover effects.</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Ownership Limit</w:t>
      </w:r>
    </w:p>
    <w:p>
      <w:pPr>
        <w:spacing w:after="0" w:line="95"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The company’s charter provides that no person or entity may beneficially own, or be deemed to own by virtue of the applicable constructive ownership provisions of the Code, more than 9.8% (by value or by number of shares, whichever is more restrictive) of the outstanding shares of the company’s common stock or any series of preferred stock or more than 9.8% of the value of the company’s outstanding capital stock. The company refers to these restrictions as the “ownership limits.” For a fuller description of this restriction and the constructive ownership rules, see “Restrictions on Ownership and Transfer.”</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Indemnification and Limitation of Directors’ and Officers’ Liability</w:t>
      </w:r>
    </w:p>
    <w:p>
      <w:pPr>
        <w:spacing w:after="0" w:line="95" w:lineRule="exact"/>
        <w:rPr>
          <w:sz w:val="20"/>
          <w:szCs w:val="20"/>
          <w:color w:val="auto"/>
        </w:rPr>
      </w:pPr>
    </w:p>
    <w:p>
      <w:pPr>
        <w:ind w:left="1320" w:right="339"/>
        <w:spacing w:after="0" w:line="286" w:lineRule="auto"/>
        <w:rPr>
          <w:sz w:val="20"/>
          <w:szCs w:val="20"/>
          <w:color w:val="auto"/>
        </w:rPr>
      </w:pPr>
      <w:r>
        <w:rPr>
          <w:rFonts w:ascii="Times New Roman" w:cs="Times New Roman" w:eastAsia="Times New Roman" w:hAnsi="Times New Roman"/>
          <w:sz w:val="14"/>
          <w:szCs w:val="14"/>
          <w:color w:val="auto"/>
        </w:rPr>
        <w:t>The MGCL permits a Maryland corporation to include in its charter a provision limiting the liability of its directors and officers to the corporation and its stockholders for money damages except for liability resulting</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50</w:t>
      </w:r>
    </w:p>
    <w:p>
      <w:pPr>
        <w:sectPr>
          <w:pgSz w:w="11900" w:h="16838" w:orient="portrait"/>
          <w:cols w:equalWidth="0" w:num="1">
            <w:col w:w="10159"/>
          </w:cols>
          <w:pgMar w:left="300" w:top="388" w:right="1440"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1320" w:right="279"/>
        <w:spacing w:after="0" w:line="269" w:lineRule="auto"/>
        <w:rPr>
          <w:sz w:val="20"/>
          <w:szCs w:val="20"/>
          <w:color w:val="auto"/>
        </w:rPr>
      </w:pPr>
      <w:r>
        <w:rPr>
          <w:rFonts w:ascii="Times New Roman" w:cs="Times New Roman" w:eastAsia="Times New Roman" w:hAnsi="Times New Roman"/>
          <w:sz w:val="14"/>
          <w:szCs w:val="14"/>
          <w:color w:val="auto"/>
        </w:rPr>
        <w:t>from actual receipt of an improper benefit or profit in money, property or services or active and deliberate dishonesty established by a final judgment as being material to the cause of action. The company’s charter contains such a provision which eliminates such liability to the maximum extent permitted by Maryland law.</w:t>
      </w:r>
    </w:p>
    <w:p>
      <w:pPr>
        <w:spacing w:after="0" w:line="137"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The MGCL requires a corporation (unless its charter provides otherwise, which the company’s charter does not) to indemnify a director or officer who has been successful, on the merits or otherwise, in the defense of any proceeding to which he or she is made a party by reason of his or her service in that capacity. The MGCL permits a corporation to indemnify its present and former directors and officers, among others, against judgments, penalties, fines, settlements and reasonable expenses actually incurred by them in connection with any proceeding to which they may be made or are threatened to be made a party by reason of their service in those or other capacities unless it is established that:</w:t>
      </w:r>
    </w:p>
    <w:p>
      <w:pPr>
        <w:spacing w:after="0" w:line="68" w:lineRule="exact"/>
        <w:rPr>
          <w:sz w:val="20"/>
          <w:szCs w:val="20"/>
          <w:color w:val="auto"/>
        </w:rPr>
      </w:pPr>
    </w:p>
    <w:p>
      <w:pPr>
        <w:ind w:left="2080" w:hanging="337"/>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 or omission of the director or officer was material to the matter giving rise to the proceeding,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committed in bad faith;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was the result of active and deliberate dishonesty;</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director or officer actually received an improper personal benefit in money, property or services;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any criminal proceeding, the director or officer had reasonable cause to believe that the act or omission was unlawful.</w:t>
      </w:r>
    </w:p>
    <w:p>
      <w:pPr>
        <w:spacing w:after="0" w:line="178" w:lineRule="exact"/>
        <w:rPr>
          <w:sz w:val="20"/>
          <w:szCs w:val="20"/>
          <w:color w:val="auto"/>
        </w:rPr>
      </w:pPr>
    </w:p>
    <w:p>
      <w:pPr>
        <w:jc w:val="both"/>
        <w:ind w:left="1320" w:right="399"/>
        <w:spacing w:after="0" w:line="269" w:lineRule="auto"/>
        <w:rPr>
          <w:sz w:val="20"/>
          <w:szCs w:val="20"/>
          <w:color w:val="auto"/>
        </w:rPr>
      </w:pPr>
      <w:r>
        <w:rPr>
          <w:rFonts w:ascii="Times New Roman" w:cs="Times New Roman" w:eastAsia="Times New Roman" w:hAnsi="Times New Roman"/>
          <w:sz w:val="14"/>
          <w:szCs w:val="14"/>
          <w:color w:val="auto"/>
        </w:rPr>
        <w:t>However, under the MGCL, a Maryland corporation may not indemnify for an adverse judgment in a suit by or in the right of the corporation or for a judgment of liability on the basis that personal benefit was improperly received, unless in either case a court orders indemnification and then only for expenses. In addition, the MGCL permits a corporation to advance reasonable expenses to a director or officer upon the corporation’s receipt of:</w:t>
      </w:r>
    </w:p>
    <w:p>
      <w:pPr>
        <w:spacing w:after="0" w:line="63" w:lineRule="exact"/>
        <w:rPr>
          <w:sz w:val="20"/>
          <w:szCs w:val="20"/>
          <w:color w:val="auto"/>
        </w:rPr>
      </w:pPr>
    </w:p>
    <w:p>
      <w:pPr>
        <w:ind w:left="2080" w:right="399" w:hanging="337"/>
        <w:spacing w:after="0" w:line="286" w:lineRule="auto"/>
        <w:tabs>
          <w:tab w:leader="none" w:pos="2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affirmation by the director or officer of his or her good faith belief that he or she has met the standard of conduct necessary for indemnification by the corporation; and</w:t>
      </w:r>
    </w:p>
    <w:p>
      <w:pPr>
        <w:spacing w:after="0" w:line="50" w:lineRule="exact"/>
        <w:rPr>
          <w:rFonts w:ascii="Times New Roman" w:cs="Times New Roman" w:eastAsia="Times New Roman" w:hAnsi="Times New Roman"/>
          <w:sz w:val="14"/>
          <w:szCs w:val="14"/>
          <w:color w:val="auto"/>
        </w:rPr>
      </w:pPr>
    </w:p>
    <w:p>
      <w:pPr>
        <w:ind w:left="2080" w:right="639" w:hanging="337"/>
        <w:spacing w:after="0" w:line="286" w:lineRule="auto"/>
        <w:tabs>
          <w:tab w:leader="none" w:pos="20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written undertaking by the director or officer or on the director’s or officer’s behalf to repay the amount paid or reimbursed by the corporation if it is ultimately determined that the director or officer did not meet the standard of conduct.</w:t>
      </w:r>
    </w:p>
    <w:p>
      <w:pPr>
        <w:spacing w:after="0" w:line="125" w:lineRule="exact"/>
        <w:rPr>
          <w:sz w:val="20"/>
          <w:szCs w:val="20"/>
          <w:color w:val="auto"/>
        </w:rPr>
      </w:pPr>
    </w:p>
    <w:p>
      <w:pPr>
        <w:ind w:left="1320" w:right="339"/>
        <w:spacing w:after="0" w:line="269" w:lineRule="auto"/>
        <w:rPr>
          <w:sz w:val="20"/>
          <w:szCs w:val="20"/>
          <w:color w:val="auto"/>
        </w:rPr>
      </w:pPr>
      <w:r>
        <w:rPr>
          <w:rFonts w:ascii="Times New Roman" w:cs="Times New Roman" w:eastAsia="Times New Roman" w:hAnsi="Times New Roman"/>
          <w:sz w:val="14"/>
          <w:szCs w:val="14"/>
          <w:color w:val="auto"/>
        </w:rPr>
        <w:t>The company’s charter authorizes the company to obligate it and the company’s bylaws obligate it, to the maximum extent permitted by Maryland law in effect from time to time, to indemnify and, without requiring a preliminary determination of the ultimate entitlement to indemnification, pay or reimburse reasonable expenses in advance of final disposition of a proceeding to:</w:t>
      </w:r>
    </w:p>
    <w:p>
      <w:pPr>
        <w:spacing w:after="0" w:line="63" w:lineRule="exact"/>
        <w:rPr>
          <w:sz w:val="20"/>
          <w:szCs w:val="20"/>
          <w:color w:val="auto"/>
        </w:rPr>
      </w:pPr>
    </w:p>
    <w:p>
      <w:pPr>
        <w:ind w:left="2080" w:right="319" w:hanging="337"/>
        <w:spacing w:after="0" w:line="286" w:lineRule="auto"/>
        <w:tabs>
          <w:tab w:leader="none" w:pos="2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present or former director or officer who is made or threatened to be made a party to the proceeding by reason of his or her service in that capacity; or</w:t>
      </w:r>
    </w:p>
    <w:p>
      <w:pPr>
        <w:spacing w:after="0" w:line="50" w:lineRule="exact"/>
        <w:rPr>
          <w:rFonts w:ascii="Times New Roman" w:cs="Times New Roman" w:eastAsia="Times New Roman" w:hAnsi="Times New Roman"/>
          <w:sz w:val="14"/>
          <w:szCs w:val="14"/>
          <w:color w:val="auto"/>
        </w:rPr>
      </w:pPr>
    </w:p>
    <w:p>
      <w:pPr>
        <w:ind w:left="2080" w:right="279" w:hanging="337"/>
        <w:spacing w:after="0" w:line="264" w:lineRule="auto"/>
        <w:tabs>
          <w:tab w:leader="none" w:pos="20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individual who, while a director or officer of the company and at the company’s request, serves or has served at another corporation, REIT, partnership, joint venture, trust, limited liability company, employee benefit plan or any other enterprise as a director, officer, partner, trustee, member or manager and who is made or threatened to be made a party to the proceeding by reason of his or her service in that capacity.</w:t>
      </w:r>
    </w:p>
    <w:p>
      <w:pPr>
        <w:spacing w:after="0" w:line="140" w:lineRule="exact"/>
        <w:rPr>
          <w:sz w:val="20"/>
          <w:szCs w:val="20"/>
          <w:color w:val="auto"/>
        </w:rPr>
      </w:pPr>
    </w:p>
    <w:p>
      <w:pPr>
        <w:ind w:left="1320" w:right="439"/>
        <w:spacing w:after="0" w:line="286" w:lineRule="auto"/>
        <w:rPr>
          <w:sz w:val="20"/>
          <w:szCs w:val="20"/>
          <w:color w:val="auto"/>
        </w:rPr>
      </w:pPr>
      <w:r>
        <w:rPr>
          <w:rFonts w:ascii="Times New Roman" w:cs="Times New Roman" w:eastAsia="Times New Roman" w:hAnsi="Times New Roman"/>
          <w:sz w:val="14"/>
          <w:szCs w:val="14"/>
          <w:color w:val="auto"/>
        </w:rPr>
        <w:t>The rights to indemnification and advancement of expenses provided by the company’s charter and bylaws shall vest immediately upon election of a director or officer.</w:t>
      </w:r>
    </w:p>
    <w:p>
      <w:pPr>
        <w:spacing w:after="0" w:line="125" w:lineRule="exact"/>
        <w:rPr>
          <w:sz w:val="20"/>
          <w:szCs w:val="20"/>
          <w:color w:val="auto"/>
        </w:rPr>
      </w:pPr>
    </w:p>
    <w:p>
      <w:pPr>
        <w:ind w:left="1320" w:right="199"/>
        <w:spacing w:after="0" w:line="286" w:lineRule="auto"/>
        <w:rPr>
          <w:sz w:val="20"/>
          <w:szCs w:val="20"/>
          <w:color w:val="auto"/>
        </w:rPr>
      </w:pPr>
      <w:r>
        <w:rPr>
          <w:rFonts w:ascii="Times New Roman" w:cs="Times New Roman" w:eastAsia="Times New Roman" w:hAnsi="Times New Roman"/>
          <w:sz w:val="14"/>
          <w:szCs w:val="14"/>
          <w:color w:val="auto"/>
        </w:rPr>
        <w:t>The company’s charter and bylaws also permit the company to indemnify and advance expenses to any person who served a predecessor of the company in any of the capacities described above and to any employee or agent of the company or a predecessor of the company.</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51</w:t>
      </w:r>
    </w:p>
    <w:p>
      <w:pPr>
        <w:sectPr>
          <w:pgSz w:w="11900" w:h="16838" w:orient="portrait"/>
          <w:cols w:equalWidth="0" w:num="1">
            <w:col w:w="10159"/>
          </w:cols>
          <w:pgMar w:left="300" w:top="388"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The partnership agreement provides that the company, as general partner, and the company’s officers and directors are indemnified to the fullest extent permitted by law. See “Description of the Partnership Agreement of Digital Realty Trust, L.P.—Indemnification and Limitation of Liability.” The company has also entered into indemnification agreements with each of its executive officers and directors that obligate the company to indemnify them to the maximum extent permitted by Maryland law.</w:t>
      </w:r>
    </w:p>
    <w:p>
      <w:pPr>
        <w:spacing w:after="0" w:line="140" w:lineRule="exact"/>
        <w:rPr>
          <w:sz w:val="20"/>
          <w:szCs w:val="20"/>
          <w:color w:val="auto"/>
        </w:rPr>
      </w:pPr>
    </w:p>
    <w:p>
      <w:pPr>
        <w:ind w:left="1320" w:right="199"/>
        <w:spacing w:after="0" w:line="269" w:lineRule="auto"/>
        <w:rPr>
          <w:sz w:val="20"/>
          <w:szCs w:val="20"/>
          <w:color w:val="auto"/>
        </w:rPr>
      </w:pPr>
      <w:r>
        <w:rPr>
          <w:rFonts w:ascii="Times New Roman" w:cs="Times New Roman" w:eastAsia="Times New Roman" w:hAnsi="Times New Roman"/>
          <w:sz w:val="14"/>
          <w:szCs w:val="14"/>
          <w:color w:val="auto"/>
        </w:rPr>
        <w:t>Insofar as the foregoing provisions permit indemnification of directors, officers or persons controlling us for liability arising under the Securities Act, we have been informed that in the opinion of the SEC, this indemnification is against public policy as expressed in the Securities Act and is therefore unenforceable.</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Exclusive Forum</w:t>
      </w:r>
    </w:p>
    <w:p>
      <w:pPr>
        <w:spacing w:after="0" w:line="95"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color w:val="auto"/>
        </w:rPr>
        <w:t>The company’s bylaws provide that, unless the company consents in writing to the selection of an alternative forum, the Circuit Court for Baltimore City, Maryland, or, if that Court does not have jurisdiction, the United States District Court for the District of Maryland, Baltimore Division, will be the sole and exclusive forum for (a) any derivative action or proceeding brought on behalf of the company, (b) any action asserting a claim of breach of any duty owed by any director or officer or other employee of the company to the company or to the stockholders of the company, (c) any action asserting a claim against the company or any director or officer or other employee of the company arising pursuant to any provision of the MGCL or the company’s charter or bylaws, or (d) any action asserting a claim against the company or any director or officer or other employee of the company that is governed by the internal affairs doctrine.</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52</w:t>
      </w:r>
    </w:p>
    <w:p>
      <w:pPr>
        <w:sectPr>
          <w:pgSz w:w="11900" w:h="16838" w:orient="portrait"/>
          <w:cols w:equalWidth="0" w:num="1">
            <w:col w:w="10159"/>
          </w:cols>
          <w:pgMar w:left="300" w:top="388" w:right="1440"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UNITED STATES FEDERAL INCOME TAX CONSIDERATIONS</w:t>
      </w:r>
    </w:p>
    <w:p>
      <w:pPr>
        <w:spacing w:after="0" w:line="180"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The following is a general summary of certain material U.S. federal income tax considerations regarding our company’s election to be taxed as a real estate investment trust, or a REIT, and the acquisition, ownership or disposition of our capital stock or the operating partnership’s debt securities. Supplemental U.S. federal income tax considerations relevant to holders of the securities offered by this prospectus may be provided in the prospectus supplement that relates to those securities. For purposes of this discussion, references to “we,” “our” and “us” mean only Digital Realty Trust, Inc., and do not include any of its subsidiaries, except as otherwise indicated. This summary is for general information only and is not tax advice. The information in this summary is based on:</w:t>
      </w:r>
    </w:p>
    <w:p>
      <w:pPr>
        <w:spacing w:after="0" w:line="71" w:lineRule="exact"/>
        <w:rPr>
          <w:sz w:val="20"/>
          <w:szCs w:val="20"/>
          <w:color w:val="auto"/>
        </w:rPr>
      </w:pPr>
    </w:p>
    <w:p>
      <w:pPr>
        <w:ind w:left="2080" w:hanging="337"/>
        <w:spacing w:after="0"/>
        <w:tabs>
          <w:tab w:leader="none" w:pos="2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Internal Revenue Code of 1986, as amended, or the Code;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temporary and proposed Treasury regulations promulgated under the Code, or the Treasury Regulations;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legislative history of the Code;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administrative interpretations and practices of the Internal Revenue Service, or the IRS;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court decisions;</w:t>
      </w:r>
    </w:p>
    <w:p>
      <w:pPr>
        <w:spacing w:after="0" w:line="178" w:lineRule="exact"/>
        <w:rPr>
          <w:sz w:val="20"/>
          <w:szCs w:val="20"/>
          <w:color w:val="auto"/>
        </w:rPr>
      </w:pPr>
    </w:p>
    <w:p>
      <w:pPr>
        <w:ind w:left="1320" w:right="239"/>
        <w:spacing w:after="0" w:line="255" w:lineRule="auto"/>
        <w:rPr>
          <w:sz w:val="20"/>
          <w:szCs w:val="20"/>
          <w:color w:val="auto"/>
        </w:rPr>
      </w:pPr>
      <w:r>
        <w:rPr>
          <w:rFonts w:ascii="Times New Roman" w:cs="Times New Roman" w:eastAsia="Times New Roman" w:hAnsi="Times New Roman"/>
          <w:sz w:val="14"/>
          <w:szCs w:val="14"/>
          <w:color w:val="auto"/>
        </w:rPr>
        <w:t>in each case, as of the date of this prospectus. In addition, the administrative interpretations and practices of the IRS include its practices and policies as expressed in private letter rulings that are not binding on the IRS except with respect to the particular taxpayers who requested and received those rulings. The sections of the Code and the corresponding Treasury Regulations that relate to qualification and taxation as a REIT are highly technical and complex. The following discussion sets forth certain material aspects of the sections of the Code that govern the U.S. federal income tax treatment of a REIT and its stockholders and the holders of the operating partnership’s debt securities. This summary is qualified in its entirety by the applicable Code provisions, Treasury Regulations, and administrative and judicial interpretations thereof. Potential tax reforms may result in significant changes to the rules governing U.S. federal income taxation. New legislation, Treasury Regulations, administrative interpretations and practices and/or court decisions may significantly and adversely affect our ability to qualify as a REIT, the U.S. federal income tax consequences of such qualification, or the U.S. federal income tax consequences of an investment in our capital stock or the operating partnership’s debt securities, including those described in this discussion. Moreover, the law relating to the tax treatment of other entities, or an investment in other entities, could change, making an investment in such other entities more attractive relative to an investment in a REIT. Any such changes could apply retroactively to transactions preceding the date of the change. We have not requested, and do not plan to request, any rulings from the IRS that we qualify as a REIT, and the statements in this prospectus are not binding on the IRS or any court. Thus, we can provide no assurance that the tax considerations contained in this discussion will not be challenged by the IRS or will be sustained by a court if challenged by the IRS. This summary does not discuss any state, local or non-U.S. tax consequences, or any tax consequences arising under any U.S. federal tax laws other than U.S. federal income tax laws, associated with the purchase, ownership or disposition of our capital stock or the operating partnership’s debt securities, or our election to be taxed as a REIT.</w:t>
      </w: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You are urged to consult your tax advisors regarding the tax consequences to you of:</w:t>
      </w:r>
    </w:p>
    <w:p>
      <w:pPr>
        <w:spacing w:after="0" w:line="104" w:lineRule="exact"/>
        <w:rPr>
          <w:sz w:val="20"/>
          <w:szCs w:val="20"/>
          <w:color w:val="auto"/>
        </w:rPr>
      </w:pPr>
    </w:p>
    <w:p>
      <w:pPr>
        <w:ind w:left="2080" w:right="559" w:hanging="337"/>
        <w:spacing w:after="0" w:line="289" w:lineRule="auto"/>
        <w:tabs>
          <w:tab w:leader="none" w:pos="2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the purchase, ownership and disposition of our capital stock or the operating partnership’s debt securities, including the U.S. federal, state, local, non-U.S. and other tax consequences;</w:t>
      </w:r>
    </w:p>
    <w:p>
      <w:pPr>
        <w:spacing w:after="0" w:line="46"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our election to be taxed as a REIT for U.S. federal income tax purposes;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potential changes in applicable tax laws.</w:t>
      </w:r>
    </w:p>
    <w:p>
      <w:pPr>
        <w:spacing w:after="0" w:line="12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53</w:t>
      </w:r>
    </w:p>
    <w:p>
      <w:pPr>
        <w:sectPr>
          <w:pgSz w:w="11900" w:h="16838" w:orient="portrait"/>
          <w:cols w:equalWidth="0" w:num="1">
            <w:col w:w="10159"/>
          </w:cols>
          <w:pgMar w:left="300" w:top="388" w:right="1440"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Our Company</w:t>
      </w:r>
    </w:p>
    <w:p>
      <w:pPr>
        <w:spacing w:after="0" w:line="93" w:lineRule="exact"/>
        <w:rPr>
          <w:sz w:val="20"/>
          <w:szCs w:val="20"/>
          <w:color w:val="auto"/>
        </w:rPr>
      </w:pPr>
    </w:p>
    <w:p>
      <w:pPr>
        <w:ind w:left="1320" w:right="3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color w:val="auto"/>
        </w:rPr>
        <w:t>. We have elected to be taxed as a REIT under Sections 856 through 860 of the Code commencing with our taxable year ended December 31,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2004. We believe that we have been organized and have operated in a manner that has allowed us to qualify for taxation as a REIT under the Code commencing with such taxable year, and we intend to continue to be organized and operate in this manner. However, qualification and taxation as a REIT depend upon our ability to meet the various qualification tests imposed under the Code, including through actual operating results, asset composition, distribution levels and diversity of stock ownership. Accordingly, no assurance can be given that we have been organized and have operated, or will continue to be organized and operate, in a manner so as to qualify or remain qualified as a REIT. See “—Failure to Qualify” for potential tax consequences if we fail to qualify as a REIT.</w:t>
      </w:r>
    </w:p>
    <w:p>
      <w:pPr>
        <w:spacing w:after="0" w:line="143"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Latham &amp; Watkins LLP has acted as our tax counsel in connection with this prospectus and our election to be taxed as a REIT. Latham &amp; Watkins LLP has rendered an opinion to us, as of the date of this prospectus, to the effect that, commencing with our taxable year ended December 31, 2019, we have been organized and have operated in conformity with the requirements for qualification and taxation as a REIT under the Code, and our proposed method of operation will enable us to continue to meet the requirements for qualification and taxation as a REIT under the Code. It must be emphasized that this opinion was based on various assumptions and representations as to factual matters, including representations made by us in a factual certificate provided by one or more of our officers. In addition, this opinion was based upon our factual representations set forth in this prospectus. Moreover, our qualification and taxation as a REIT depend upon our ability to meet the various qualification tests imposed under the Code, which are discussed below, including through actual operating results, asset composition, distribution levels and diversity of stock ownership, the results of which have not been and will not be reviewed by Latham &amp; Watkins LLP. Accordingly, no assurance can be given that our actual results of operations for any particular taxable year have satisfied or will satisfy those requirements. Further, the anticipated U.S. federal income tax treatment described herein may be changed, perhaps retroactively, by legislative, administrative or judicial action at any time. Latham &amp; Watkins LLP has no obligation to update its opinion subsequent to the date of such opinion.</w:t>
      </w:r>
    </w:p>
    <w:p>
      <w:pPr>
        <w:spacing w:after="0" w:line="152"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Provided we qualify for taxation as a REIT, we generally will not be required to pay U.S. federal corporate income taxes on our REIT taxable income that is currently distributed to our stockholders. This treatment substantially eliminates the “double taxation” that ordinarily results from investment in a C corporation. A C corporation is a corporation that generally is required to pay tax at the corporate level. Double taxation means taxation once at the corporate level when income is earned and once again at the stockholder level when the income is distributed. We will, however, be required to pay U.S. federal income tax as follows:</w:t>
      </w:r>
    </w:p>
    <w:p>
      <w:pPr>
        <w:spacing w:after="0" w:line="68" w:lineRule="exact"/>
        <w:rPr>
          <w:sz w:val="20"/>
          <w:szCs w:val="20"/>
          <w:color w:val="auto"/>
        </w:rPr>
      </w:pPr>
    </w:p>
    <w:p>
      <w:pPr>
        <w:ind w:left="2080" w:right="839" w:hanging="337"/>
        <w:spacing w:after="0" w:line="286" w:lineRule="auto"/>
        <w:tabs>
          <w:tab w:leader="none" w:pos="2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First, we will be required to pay regular U.S. federal corporate income tax on any undistributed REIT taxable income, including undistributed capital gain.</w:t>
      </w:r>
    </w:p>
    <w:p>
      <w:pPr>
        <w:spacing w:after="0" w:line="50" w:lineRule="exact"/>
        <w:rPr>
          <w:rFonts w:ascii="Times New Roman" w:cs="Times New Roman" w:eastAsia="Times New Roman" w:hAnsi="Times New Roman"/>
          <w:sz w:val="14"/>
          <w:szCs w:val="14"/>
          <w:color w:val="auto"/>
        </w:rPr>
      </w:pPr>
    </w:p>
    <w:p>
      <w:pPr>
        <w:ind w:left="2080" w:right="339" w:hanging="337"/>
        <w:spacing w:after="0" w:line="261" w:lineRule="auto"/>
        <w:tabs>
          <w:tab w:leader="none" w:pos="2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 if we have (1) net income from the sale or other disposition of “foreclosure property” held primarily for sale to customers in the ordinary course of business or (2) other nonqualifying income from foreclosure property, we will be required to pay regular U.S. federal corporate income tax on this income. To the extent that income from foreclosure property is otherwise qualifying income for purposes of the 75% gross income test, this tax is not applicable. Subject to certain other requirements, foreclosure property generally is defined as property we acquired through foreclosure or after a default on a loan secured by the property or a lease of the property.</w:t>
      </w:r>
    </w:p>
    <w:p>
      <w:pPr>
        <w:spacing w:after="0" w:line="68" w:lineRule="exact"/>
        <w:rPr>
          <w:rFonts w:ascii="Times New Roman" w:cs="Times New Roman" w:eastAsia="Times New Roman" w:hAnsi="Times New Roman"/>
          <w:sz w:val="14"/>
          <w:szCs w:val="14"/>
          <w:color w:val="auto"/>
        </w:rPr>
      </w:pPr>
    </w:p>
    <w:p>
      <w:pPr>
        <w:ind w:left="2080" w:right="279" w:hanging="337"/>
        <w:spacing w:after="0" w:line="269" w:lineRule="auto"/>
        <w:tabs>
          <w:tab w:leader="none" w:pos="2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 we will be required to pay a 100% tax on any net income from prohibited transactions. Prohibited transactions are, in general, sales or other taxable dispositions of property, other than foreclosure property, held as inventory or primarily for sale to customers in the ordinary course of business.</w:t>
      </w:r>
    </w:p>
    <w:p>
      <w:pPr>
        <w:spacing w:after="0" w:line="62" w:lineRule="exact"/>
        <w:rPr>
          <w:rFonts w:ascii="Times New Roman" w:cs="Times New Roman" w:eastAsia="Times New Roman" w:hAnsi="Times New Roman"/>
          <w:sz w:val="14"/>
          <w:szCs w:val="14"/>
          <w:color w:val="auto"/>
        </w:rPr>
      </w:pPr>
    </w:p>
    <w:p>
      <w:pPr>
        <w:ind w:left="2080" w:right="219" w:hanging="337"/>
        <w:spacing w:after="0" w:line="286" w:lineRule="auto"/>
        <w:tabs>
          <w:tab w:leader="none" w:pos="20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Fourth, if we fail to satisfy the 75% gross income test or the 95% gross income test, as described below, but have otherwise maintained our qualification as a REIT because certain other</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54</w:t>
      </w:r>
    </w:p>
    <w:p>
      <w:pPr>
        <w:sectPr>
          <w:pgSz w:w="11900" w:h="16838" w:orient="portrait"/>
          <w:cols w:equalWidth="0" w:num="1">
            <w:col w:w="10159"/>
          </w:cols>
          <w:pgMar w:left="300" w:top="388"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jc w:val="both"/>
        <w:ind w:left="2100" w:right="279"/>
        <w:spacing w:after="0" w:line="269" w:lineRule="auto"/>
        <w:rPr>
          <w:sz w:val="20"/>
          <w:szCs w:val="20"/>
          <w:color w:val="auto"/>
        </w:rPr>
      </w:pPr>
      <w:r>
        <w:rPr>
          <w:rFonts w:ascii="Times New Roman" w:cs="Times New Roman" w:eastAsia="Times New Roman" w:hAnsi="Times New Roman"/>
          <w:sz w:val="14"/>
          <w:szCs w:val="14"/>
          <w:color w:val="auto"/>
        </w:rPr>
        <w:t>requirements are met, we will be required to pay a tax equal to (1) the greater of (A) the amount by which we fail to satisfy the 75% gross income test and (B) the amount by which we fail to satisfy the 95% gross income test, multiplied by (2) a fraction intended to reflect our profitability.</w:t>
      </w:r>
    </w:p>
    <w:p>
      <w:pPr>
        <w:spacing w:after="0" w:line="63" w:lineRule="exact"/>
        <w:rPr>
          <w:sz w:val="20"/>
          <w:szCs w:val="20"/>
          <w:color w:val="auto"/>
        </w:rPr>
      </w:pPr>
    </w:p>
    <w:p>
      <w:pPr>
        <w:ind w:left="2080" w:right="299" w:hanging="337"/>
        <w:spacing w:after="0" w:line="264"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Fifth, if we fail to satisfy any of the asset tests (other than a de minimis failure of the 5% or 10% asset test), as described below, due to reasonable cause and not due to willful neglect, and we nonetheless maintain our REIT qualification because of specified cure provisions, we will be required to pay a tax equal to the greater of $50,000 or the U.S. federal corporate income tax rate multiplied by the net income generated by the nonqualifying assets that caused us to fail such test.</w:t>
      </w:r>
    </w:p>
    <w:p>
      <w:pPr>
        <w:spacing w:after="0" w:line="65" w:lineRule="exact"/>
        <w:rPr>
          <w:rFonts w:ascii="Times New Roman" w:cs="Times New Roman" w:eastAsia="Times New Roman" w:hAnsi="Times New Roman"/>
          <w:sz w:val="14"/>
          <w:szCs w:val="14"/>
          <w:color w:val="auto"/>
        </w:rPr>
      </w:pPr>
    </w:p>
    <w:p>
      <w:pPr>
        <w:ind w:left="2080" w:right="219" w:hanging="337"/>
        <w:spacing w:after="0" w:line="269"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Sixth, if we fail to satisfy any provision of the Code that would result in our failure to qualify as a REIT (other than a violation of the gross income tests or certain violations of the asset tests, as described below) and the violation is due to reasonable cause and not due to willful neglect, we may retain our REIT qualification but we will be required to pay a penalty of $50,000 for each such failure.</w:t>
      </w:r>
    </w:p>
    <w:p>
      <w:pPr>
        <w:spacing w:after="0" w:line="62" w:lineRule="exact"/>
        <w:rPr>
          <w:rFonts w:ascii="Times New Roman" w:cs="Times New Roman" w:eastAsia="Times New Roman" w:hAnsi="Times New Roman"/>
          <w:sz w:val="14"/>
          <w:szCs w:val="14"/>
          <w:color w:val="auto"/>
        </w:rPr>
      </w:pPr>
    </w:p>
    <w:p>
      <w:pPr>
        <w:ind w:left="2080" w:right="239" w:hanging="337"/>
        <w:spacing w:after="0" w:line="269"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Seventh, we will be required to pay a 4% excise tax to the extent we fail to distribute during each calendar year at least the sum of (1) 85% of our ordinary income for the year, (2) 95% of our capital gain net income for the year, and (3) any undistributed taxable income from prior periods.</w:t>
      </w:r>
    </w:p>
    <w:p>
      <w:pPr>
        <w:spacing w:after="0" w:line="62" w:lineRule="exact"/>
        <w:rPr>
          <w:rFonts w:ascii="Times New Roman" w:cs="Times New Roman" w:eastAsia="Times New Roman" w:hAnsi="Times New Roman"/>
          <w:sz w:val="14"/>
          <w:szCs w:val="14"/>
          <w:color w:val="auto"/>
        </w:rPr>
      </w:pPr>
    </w:p>
    <w:p>
      <w:pPr>
        <w:ind w:left="2080" w:right="239" w:hanging="337"/>
        <w:spacing w:after="0" w:line="256"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Eighth, if we acquire any asset from a corporation that is or has been a C corporation in a transaction in which our tax basis in the asset is less than the fair market value of the asset, in each case determined as of the date on which we acquired the asset, and we subsequently recognize gain on the disposition of the asset during the five-year period beginning on the date on which we acquired the asset, then we generally will be required to pay regular U.S. federal corporate income tax on this gain to the extent of the excess of (1) the fair market value of the asset over (2) our adjusted tax basis in the asset, in each case determined as of the date on which we acquired the asset. The results described in this paragraph with respect to the recognition of gain assume that the C corporation will refrain from making an election to receive different treatment under applicable Treasury Regulations on its tax return for the year in which we acquire the asset from the C corporation. Under applicable Treasury Regulations, any gain from the sale of property we acquired in an exchange under Section 1031 (a like-kind exchange) or Section 1033 (an involuntary conversion) of the Code generally is excluded from the application of this built-in gains tax.</w:t>
      </w:r>
    </w:p>
    <w:p>
      <w:pPr>
        <w:spacing w:after="0" w:line="74" w:lineRule="exact"/>
        <w:rPr>
          <w:rFonts w:ascii="Times New Roman" w:cs="Times New Roman" w:eastAsia="Times New Roman" w:hAnsi="Times New Roman"/>
          <w:sz w:val="14"/>
          <w:szCs w:val="14"/>
          <w:color w:val="auto"/>
        </w:rPr>
      </w:pPr>
    </w:p>
    <w:p>
      <w:pPr>
        <w:ind w:left="2080" w:right="479" w:hanging="337"/>
        <w:spacing w:after="0" w:line="286"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Ninth, our subsidiaries that are C corporations and are not qualified REIT subsidiaries (described below), including our “taxable REIT subsidiaries” described below, generally will be required to pay regular U.S. federal corporate income tax on their earnings.</w:t>
      </w:r>
    </w:p>
    <w:p>
      <w:pPr>
        <w:spacing w:after="0" w:line="50" w:lineRule="exact"/>
        <w:rPr>
          <w:rFonts w:ascii="Times New Roman" w:cs="Times New Roman" w:eastAsia="Times New Roman" w:hAnsi="Times New Roman"/>
          <w:sz w:val="14"/>
          <w:szCs w:val="14"/>
          <w:color w:val="auto"/>
        </w:rPr>
      </w:pPr>
    </w:p>
    <w:p>
      <w:pPr>
        <w:ind w:left="2080" w:right="219" w:hanging="337"/>
        <w:spacing w:after="0" w:line="259"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Tenth, we will be required to pay a 100% tax on any “redetermined rents,” “redetermined deductions,” “excess interest,” or “redetermined TRS service income,” as described below under “—Penalty Tax.” In general, redetermined rents are rents from real property that are overstated as a result of services furnished to any of our tenants by a taxable REIT subsidiary of ours. Redetermined deductions and excess interest generally represent amounts that are deducted by a taxable REIT subsidiary of ours for amounts paid to us that are in excess of the amounts that would have been deducted based on arm’s length negotiations. Redetermined TRS service income generally represents income of a taxable REIT subsidiary that is understated as a result of services provided to us or on our behalf.</w:t>
      </w:r>
    </w:p>
    <w:p>
      <w:pPr>
        <w:spacing w:after="0" w:line="70" w:lineRule="exact"/>
        <w:rPr>
          <w:rFonts w:ascii="Times New Roman" w:cs="Times New Roman" w:eastAsia="Times New Roman" w:hAnsi="Times New Roman"/>
          <w:sz w:val="14"/>
          <w:szCs w:val="14"/>
          <w:color w:val="auto"/>
        </w:rPr>
      </w:pPr>
    </w:p>
    <w:p>
      <w:pPr>
        <w:ind w:left="2080" w:right="259" w:hanging="337"/>
        <w:spacing w:after="0" w:line="264" w:lineRule="auto"/>
        <w:tabs>
          <w:tab w:leader="none" w:pos="20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Eleventh, we may elect to retain and pay income tax on our net capital gain. In that case, a stockholder would include its proportionate share of our undistributed capital gain (to the extent we make a timely designation of such gain to the stockholder) in its income, would be deemed to have paid the tax that we paid on such gain, and would be allowed a credit for its proportionate share of the tax deemed to have been paid, and an adjustment would be made to increase the tax basis of the stockholder in our capital stock.</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55</w:t>
      </w:r>
    </w:p>
    <w:p>
      <w:pPr>
        <w:sectPr>
          <w:pgSz w:w="11900" w:h="16838" w:orient="portrait"/>
          <w:cols w:equalWidth="0" w:num="1">
            <w:col w:w="10159"/>
          </w:cols>
          <w:pgMar w:left="300" w:top="388"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59" w:hanging="337"/>
        <w:spacing w:after="0" w:line="264" w:lineRule="auto"/>
        <w:tabs>
          <w:tab w:leader="none" w:pos="20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Twelfth, if we fail to comply with the requirement to send annual letters to our stockholders holding at least a certain percentage of our stock, as determined under applicable Treasury Regulations, requesting information regarding the actual ownership of our stock, and the failure is not due to reasonable cause or is due to willful neglect, we will be subject to a $25,000 penalty, or if the failure is intentional, a $50,000 penalty.</w:t>
      </w:r>
    </w:p>
    <w:p>
      <w:pPr>
        <w:spacing w:after="0" w:line="140" w:lineRule="exact"/>
        <w:rPr>
          <w:sz w:val="20"/>
          <w:szCs w:val="20"/>
          <w:color w:val="auto"/>
        </w:rPr>
      </w:pPr>
    </w:p>
    <w:p>
      <w:pPr>
        <w:ind w:left="1320" w:right="539"/>
        <w:spacing w:after="0" w:line="286" w:lineRule="auto"/>
        <w:rPr>
          <w:sz w:val="20"/>
          <w:szCs w:val="20"/>
          <w:color w:val="auto"/>
        </w:rPr>
      </w:pPr>
      <w:r>
        <w:rPr>
          <w:rFonts w:ascii="Times New Roman" w:cs="Times New Roman" w:eastAsia="Times New Roman" w:hAnsi="Times New Roman"/>
          <w:sz w:val="14"/>
          <w:szCs w:val="14"/>
          <w:color w:val="auto"/>
        </w:rPr>
        <w:t>We and our subsidiaries may be subject to a variety of taxes other than U.S. federal income tax, including payroll taxes and state and local income, property and other taxes on our assets and operations.</w:t>
      </w:r>
    </w:p>
    <w:p>
      <w:pPr>
        <w:spacing w:after="0" w:line="125"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We own properties in other countries, which impose taxes on our operations within their jurisdictions. To the extent possible, we will structure our activities to minimize our non-U.S. tax liability. However, there can be no assurance that we will be able to eliminate our non-U.S. tax liability or reduce it to a specified level. Furthermore, as a REIT, both we and our stockholders will derive little or no benefit from foreign tax credits arising from those non-U.S. taxes.</w:t>
      </w:r>
    </w:p>
    <w:p>
      <w:pPr>
        <w:spacing w:after="0" w:line="13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Requirements for Qualification as a REIT</w:t>
      </w:r>
      <w:r>
        <w:rPr>
          <w:rFonts w:ascii="Times New Roman" w:cs="Times New Roman" w:eastAsia="Times New Roman" w:hAnsi="Times New Roman"/>
          <w:sz w:val="14"/>
          <w:szCs w:val="14"/>
          <w:color w:val="auto"/>
        </w:rPr>
        <w:t>. The Code defines a REIT as a corporation, trust or association:</w:t>
      </w:r>
    </w:p>
    <w:p>
      <w:pPr>
        <w:spacing w:after="0" w:line="95" w:lineRule="exact"/>
        <w:rPr>
          <w:sz w:val="20"/>
          <w:szCs w:val="20"/>
          <w:color w:val="auto"/>
        </w:rPr>
      </w:pPr>
    </w:p>
    <w:p>
      <w:pPr>
        <w:ind w:left="1520" w:hanging="201"/>
        <w:spacing w:after="0"/>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managed by one or more trustees or directors;</w:t>
      </w:r>
    </w:p>
    <w:p>
      <w:pPr>
        <w:spacing w:after="0" w:line="178"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issues transferable shares or transferable certificates to evidence its beneficial ownership;</w:t>
      </w:r>
    </w:p>
    <w:p>
      <w:pPr>
        <w:spacing w:after="0" w:line="178"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would be taxable as a domestic corporation, but for Sections 856 through 860 of the Code;</w:t>
      </w:r>
    </w:p>
    <w:p>
      <w:pPr>
        <w:spacing w:after="0" w:line="178"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not a financial institution or an insurance company within the meaning of certain provisions of the Code;</w:t>
      </w:r>
    </w:p>
    <w:p>
      <w:pPr>
        <w:spacing w:after="0" w:line="178"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is beneficially owned by 100 or more persons;</w:t>
      </w:r>
    </w:p>
    <w:p>
      <w:pPr>
        <w:spacing w:after="0" w:line="178" w:lineRule="exact"/>
        <w:rPr>
          <w:rFonts w:ascii="Times New Roman" w:cs="Times New Roman" w:eastAsia="Times New Roman" w:hAnsi="Times New Roman"/>
          <w:sz w:val="14"/>
          <w:szCs w:val="14"/>
          <w:color w:val="auto"/>
        </w:rPr>
      </w:pPr>
    </w:p>
    <w:p>
      <w:pPr>
        <w:ind w:left="1320" w:right="439" w:hanging="1"/>
        <w:spacing w:after="0" w:line="286" w:lineRule="auto"/>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more than 50% in value of the outstanding stock of which is owned, actually or constructively, by five or fewer individuals, including certain specified entities, during the last half of each taxable year; and</w:t>
      </w:r>
    </w:p>
    <w:p>
      <w:pPr>
        <w:spacing w:after="0" w:line="125" w:lineRule="exact"/>
        <w:rPr>
          <w:rFonts w:ascii="Times New Roman" w:cs="Times New Roman" w:eastAsia="Times New Roman" w:hAnsi="Times New Roman"/>
          <w:sz w:val="14"/>
          <w:szCs w:val="14"/>
          <w:color w:val="auto"/>
        </w:rPr>
      </w:pPr>
    </w:p>
    <w:p>
      <w:pPr>
        <w:ind w:left="1520" w:hanging="201"/>
        <w:spacing w:after="0"/>
        <w:tabs>
          <w:tab w:leader="none" w:pos="15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meets other tests, described below, regarding the nature of its income and assets and the amount of its distributions.</w:t>
      </w:r>
    </w:p>
    <w:p>
      <w:pPr>
        <w:spacing w:after="0" w:line="178"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The Code provides that conditions (1) to (4), inclusive, must be met during the entire taxable year and that condition (5) must be met during at least 335 days of a taxable year of 12 months, or during a proportionate part of a taxable year of less than 12 months. Conditions (5) and (6) do not apply until after the first taxable year for which an election is made to be taxed as a REIT. For purposes of condition (6), the term “individual” includes a supplemental unemployment compensation benefit plan, a private foundation or a portion of a trust permanently set aside or used exclusively for charitable purposes, but generally does not include a qualified pension plan or profit sharing trust.</w:t>
      </w:r>
    </w:p>
    <w:p>
      <w:pPr>
        <w:spacing w:after="0" w:line="14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We believe that we have been organized and have operated in a manner that has allowed us, and will continue to allow us, to satisfy conditions</w:t>
      </w:r>
    </w:p>
    <w:p>
      <w:pPr>
        <w:spacing w:after="0" w:line="23" w:lineRule="exact"/>
        <w:rPr>
          <w:sz w:val="20"/>
          <w:szCs w:val="20"/>
          <w:color w:val="auto"/>
        </w:rPr>
      </w:pPr>
    </w:p>
    <w:p>
      <w:pPr>
        <w:ind w:left="1320" w:right="219" w:hanging="1"/>
        <w:spacing w:after="0" w:line="254" w:lineRule="auto"/>
        <w:tabs>
          <w:tab w:leader="none" w:pos="152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(7), inclusive, during the relevant time periods. In addition, our charter provides for restrictions regarding ownership and transfer of our shares that are intended to assist us in continuing to satisfy the share ownership requirements described in conditions (5) and (6) above. A description of the share ownership and transfer restrictions relating to our capital stock is contained in the discussion in this prospectus under the heading “Restrictions on Ownership and Transfer.” These restrictions, however, do not ensure that we have previously satisfied, and may not ensure that we will, in all cases, be able to continue to satisfy, the share ownership requirements described in conditions (5) and (6) above. If we fail to satisfy these share ownership requirements, then, except as provided in the next sentence, our status as a REIT will terminate. If, however, we comply with the rules contained in applicable Treasury Regulations that require us to ascertain the actual ownership of our shares and we do not know, or would not have known through the exercise of reasonable diligence, that we failed to meet the requirement described in condition (6) above, we will be treated as having met this requirement. See “—Failure to Qualify.”</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56</w:t>
      </w:r>
    </w:p>
    <w:p>
      <w:pPr>
        <w:sectPr>
          <w:pgSz w:w="11900" w:h="16838" w:orient="portrait"/>
          <w:cols w:equalWidth="0" w:num="1">
            <w:col w:w="10159"/>
          </w:cols>
          <w:pgMar w:left="300" w:top="388" w:right="1440"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86" w:lineRule="auto"/>
        <w:rPr>
          <w:sz w:val="20"/>
          <w:szCs w:val="20"/>
          <w:color w:val="auto"/>
        </w:rPr>
      </w:pPr>
      <w:r>
        <w:rPr>
          <w:rFonts w:ascii="Times New Roman" w:cs="Times New Roman" w:eastAsia="Times New Roman" w:hAnsi="Times New Roman"/>
          <w:sz w:val="14"/>
          <w:szCs w:val="14"/>
          <w:color w:val="auto"/>
        </w:rPr>
        <w:t>In addition, we may not maintain our status as a REIT unless our taxable year is the calendar year. We have and will continue to have a calendar taxable year.</w:t>
      </w:r>
    </w:p>
    <w:p>
      <w:pPr>
        <w:spacing w:after="0" w:line="123"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Partnerships, Limited Liability Companies and Qualified REIT Subsidiaries</w:t>
      </w:r>
      <w:r>
        <w:rPr>
          <w:rFonts w:ascii="Times New Roman" w:cs="Times New Roman" w:eastAsia="Times New Roman" w:hAnsi="Times New Roman"/>
          <w:sz w:val="14"/>
          <w:szCs w:val="14"/>
          <w:color w:val="auto"/>
        </w:rPr>
        <w:t>. In the case of a REIT that is a partner in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partnership (for purposes of this discussion, references to “partnership” include a limited liability company treated as a partnership for U.S. federal income tax purposes, and references to “partner” include a member in such limited liability company), Treasury Regulations provide that the REIT will be deemed to own its proportionate share of the assets of the partnership based on its interest in partnership capital, subject to special rules relating to the 10% asset test described below. Also, the REIT will be deemed to be entitled to its proportionate share of the income of that entity. The assets and gross income of the partnership retain the same character in the hands of the REIT for purposes of Section 856 of the Code, including satisfying the gross income tests and the asset tests. Thus, our pro rata share of the assets and items of income of our operating partnership, including our operating partnership’s share of these items of any partnership or disregarded entity for U.S. federal income tax purposes in which it owns an interest, is treated as our assets and items of income for purposes of applying the requirements described in this discussion, including the gross income and asset tests described below. A brief summary of the rules governing the U.S. federal income taxation of partnerships is set forth below in “—Tax Aspects of Our Operating Partnership and its Subsidiary Partnerships and Limited Liability Companies.”</w:t>
      </w:r>
    </w:p>
    <w:p>
      <w:pPr>
        <w:spacing w:after="0" w:line="148"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We have control of our operating partnership and most of its subsidiary partnerships and intend to operate them in a manner consistent with the requirements for our qualification as a REIT. If we become a limited partner or non-managing member in any partnership and such entity takes or expects to take actions that could jeopardize our status as a REIT or require us to pay tax, we may be forced to dispose of our interest in such entity. In addition, it is possible that a partnership could take an action which could cause us to fail a gross income or asset test, and that we would not become aware of such action in time to dispose of our interest in the partnership or take other corrective action on a timely basis. In such a case, we could fail to qualify as a REIT unless we were entitled to relief, as described below.</w:t>
      </w:r>
    </w:p>
    <w:p>
      <w:pPr>
        <w:spacing w:after="0" w:line="145"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We may from time to time own and operate certain properties through wholly-owned subsidiaries that we intend to be treated as “qualified REIT subsidiaries” under the Code. A corporation (or other entity treated as a corporation for U.S. federal income tax purposes) will qualify as our qualified REIT subsidiary if we own 100% of the corporation’s outstanding stock and do not elect with the subsidiary to treat it as a “taxable REIT subsidiary,” as described below. A qualified REIT subsidiary is not treated as a separate corporation, and all assets, liabilities and items of income, gain, loss, deduction and credit of a qualified REIT subsidiary are treated as assets, liabilities and items of income, gain, loss, deduction and credit of the parent REIT for all purposes under the Code, including all REIT qualification tests. Thus, in applying the U.S. federal income tax requirements described in this discussion, any qualified REIT subsidiaries we own are ignored, and all assets, liabilities and items of income, gain, loss, deduction and credit of such corporations are treated as our assets, liabilities and items of income, gain, loss, deduction and credit. A qualified REIT subsidiary is not subject to U.S. federal income tax, and our ownership of the stock of a qualified REIT subsidiary will not violate the restrictions on ownership of securities, as described below under “—Asset Tests.”</w:t>
      </w:r>
    </w:p>
    <w:p>
      <w:pPr>
        <w:spacing w:after="0" w:line="146" w:lineRule="exact"/>
        <w:rPr>
          <w:sz w:val="20"/>
          <w:szCs w:val="20"/>
          <w:color w:val="auto"/>
        </w:rPr>
      </w:pPr>
    </w:p>
    <w:p>
      <w:pPr>
        <w:ind w:left="1320" w:right="21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Taxable REIT Subsidiaries</w:t>
      </w:r>
      <w:r>
        <w:rPr>
          <w:rFonts w:ascii="Times New Roman" w:cs="Times New Roman" w:eastAsia="Times New Roman" w:hAnsi="Times New Roman"/>
          <w:sz w:val="14"/>
          <w:szCs w:val="14"/>
          <w:color w:val="auto"/>
        </w:rPr>
        <w:t>. We, through our operating partnership, own interests in companies that have elected, together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us, to be treated as our taxable REIT subsidiaries, and we may acquire securities in additional taxable REIT subsidiaries in the future. A taxable REIT subsidiary is a corporation (or other entity treated as a corporation for U.S. federal income tax purposes) other than a REIT in which a REIT directly or indirectly holds stock, and that has made a joint election with such REIT to be treated as a taxable REIT subsidiary. If a taxable REIT subsidiary owns more than 35% of the total voting power or value of the outstanding securities of another corporation, such other corporation will also be treated as a taxable REIT subsidiary. Other than some activities relating to lodging and health care facilities, a taxable REIT subsidiary may generally engage in any business, including the provision of customary or non-customary services to tenants of its parent REIT. A taxable REIT subsidiary is subject to U.S. federal income tax as a regular C corporation. A</w:t>
      </w:r>
    </w:p>
    <w:p>
      <w:pPr>
        <w:spacing w:after="0" w:line="9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57</w:t>
      </w:r>
    </w:p>
    <w:p>
      <w:pPr>
        <w:sectPr>
          <w:pgSz w:w="11900" w:h="16838" w:orient="portrait"/>
          <w:cols w:equalWidth="0" w:num="1">
            <w:col w:w="10159"/>
          </w:cols>
          <w:pgMar w:left="300" w:top="388" w:right="1440"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REIT is not treated as holding the assets of a taxable REIT subsidiary or as receiving any income that the taxable REIT subsidiary earns. Rather, the stock issued by the taxable REIT subsidiary is an asset in the hands of the REIT, and the REIT generally recognizes as income the dividends, if any, that it receives from the taxable REIT subsidiary. A REIT’s ownership of securities of a taxable REIT subsidiary is not subject to the 5% or 10% asset test described below. See “—Asset Tests.” Taxpayers are subject to a limitation on their ability to deduct net business interest generally equal to 30% of adjusted taxable income, subject to certain exceptions. See “—Annual Distribution Requirements.” While not certain, this provision may limit the ability of our taxable REIT subsidiaries to deduct interest, which could increase their taxable income.</w:t>
      </w:r>
    </w:p>
    <w:p>
      <w:pPr>
        <w:spacing w:after="0" w:line="143" w:lineRule="exact"/>
        <w:rPr>
          <w:sz w:val="20"/>
          <w:szCs w:val="20"/>
          <w:color w:val="auto"/>
        </w:rPr>
      </w:pPr>
    </w:p>
    <w:p>
      <w:pPr>
        <w:ind w:left="1320" w:right="31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Ownership of Interests in Subsidiary REITs</w:t>
      </w:r>
      <w:r>
        <w:rPr>
          <w:rFonts w:ascii="Times New Roman" w:cs="Times New Roman" w:eastAsia="Times New Roman" w:hAnsi="Times New Roman"/>
          <w:sz w:val="14"/>
          <w:szCs w:val="14"/>
          <w:color w:val="auto"/>
        </w:rPr>
        <w:t>. We own and may acquire direct or indirect interests in one or more entities that have elected or will elect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be taxed as REITs under the Code (each, a “Subsidiary REIT”). A Subsidiary REIT is subject to the various REIT qualification requirements and other limitations described herein that are applicable to us. If a Subsidiary REIT were to fail to qualify as a REIT, then (i) that Subsidiary REIT would become subject to U.S. federal income tax and (ii) the Subsidiary REIT’s failure to qualify could have an adverse effect on our ability to comply with the REIT income and asset tests, and thus could impair our ability to qualify as a REIT unless we could avail ourselves of certain relief provisions.</w:t>
      </w:r>
    </w:p>
    <w:p>
      <w:pPr>
        <w:spacing w:after="0" w:line="139" w:lineRule="exact"/>
        <w:rPr>
          <w:sz w:val="20"/>
          <w:szCs w:val="20"/>
          <w:color w:val="auto"/>
        </w:rPr>
      </w:pPr>
    </w:p>
    <w:p>
      <w:pPr>
        <w:ind w:left="1320" w:right="23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Income Tests</w:t>
      </w:r>
      <w:r>
        <w:rPr>
          <w:rFonts w:ascii="Times New Roman" w:cs="Times New Roman" w:eastAsia="Times New Roman" w:hAnsi="Times New Roman"/>
          <w:sz w:val="14"/>
          <w:szCs w:val="14"/>
          <w:color w:val="auto"/>
        </w:rPr>
        <w:t>. We must satisfy two gross income requirements annually to maintain our qualification as a REIT. First, in each taxable year we must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derive directly or indirectly at least 75% of our gross income (excluding gross income from prohibited transactions, certain hedging transactions and certain foreign currency gains) from investments relating to real property or mortgages on real property, including “rents from real property,” dividends from other REITs and, in certain circumstances, interest, or certain types of temporary investments. Second, in each taxable year we must derive at least 95% of our gross income (excluding gross income from prohibited transactions, certain hedging transactions, and certain foreign currency gains) from the real property investments described above or dividends, interest and gain from the sale or disposition of stock or securities, or from any combination of the foregoing. For these purposes, the term “interest” generally does not include any amount received or accrued, directly or indirectly, if the 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w:t>
      </w:r>
    </w:p>
    <w:p>
      <w:pPr>
        <w:spacing w:after="0" w:line="3" w:lineRule="exact"/>
        <w:rPr>
          <w:sz w:val="20"/>
          <w:szCs w:val="20"/>
          <w:color w:val="auto"/>
        </w:rPr>
      </w:pPr>
    </w:p>
    <w:p>
      <w:pPr>
        <w:ind w:left="1320" w:right="699"/>
        <w:spacing w:after="0" w:line="265" w:lineRule="auto"/>
        <w:rPr>
          <w:sz w:val="20"/>
          <w:szCs w:val="20"/>
          <w:color w:val="auto"/>
        </w:rPr>
      </w:pPr>
      <w:r>
        <w:rPr>
          <w:rFonts w:ascii="Times New Roman" w:cs="Times New Roman" w:eastAsia="Times New Roman" w:hAnsi="Times New Roman"/>
          <w:sz w:val="14"/>
          <w:szCs w:val="14"/>
          <w:color w:val="auto"/>
        </w:rPr>
        <w:t>Rents we receive from a tenant will qualify as “rents from real property” for the purpose of satisfying the gross income requirements for a REIT described above only if all of the following conditions are met:</w:t>
      </w:r>
    </w:p>
    <w:p>
      <w:pPr>
        <w:spacing w:after="0" w:line="65" w:lineRule="exact"/>
        <w:rPr>
          <w:sz w:val="20"/>
          <w:szCs w:val="20"/>
          <w:color w:val="auto"/>
        </w:rPr>
      </w:pPr>
    </w:p>
    <w:p>
      <w:pPr>
        <w:ind w:left="2080" w:right="339" w:hanging="337"/>
        <w:spacing w:after="0" w:line="261" w:lineRule="auto"/>
        <w:tabs>
          <w:tab w:leader="none" w:pos="20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of rent is not based in whole or in part on the income or profits of any person. However, an amount we receive or accrue generally will not be excluded from the term “rents from real property” solely because it is based on a fixed percentage or percentages of receipts or sales or if it is based on the net income of a tenant which derives substantially all of its income with respect to such property from subleasing of substantially all of such property, to the extent that the rents paid by the subtenants would qualify as rents from real property if we earned such amounts directly;</w:t>
      </w:r>
    </w:p>
    <w:p>
      <w:pPr>
        <w:spacing w:after="0" w:line="68" w:lineRule="exact"/>
        <w:rPr>
          <w:rFonts w:ascii="Times New Roman" w:cs="Times New Roman" w:eastAsia="Times New Roman" w:hAnsi="Times New Roman"/>
          <w:sz w:val="14"/>
          <w:szCs w:val="14"/>
          <w:color w:val="auto"/>
        </w:rPr>
      </w:pPr>
    </w:p>
    <w:p>
      <w:pPr>
        <w:ind w:left="2080" w:right="199" w:hanging="337"/>
        <w:spacing w:after="0" w:line="257" w:lineRule="auto"/>
        <w:tabs>
          <w:tab w:leader="none" w:pos="20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we nor an actual or constructive owner of 10% or more of our capital stock actually or constructively owns 10% or more of the interests in the assets or net profits of a non-corporate tenant, or, if the tenant is a corporation, 10% or more of the total combined voting power of all classes of stock entitled to vote or 10% or more of the total value of all classes of stock of the tenant. Rents we receive from such a tenant that is a taxable REIT subsidiary of ours, however, will not be excluded from the definition of “rents from real property” as a result of this condition if at least 90% of the space at the property to which the rents relate is leased to third parties, and the rents paid by the taxable REIT subsidiary are substantially comparable to rents paid by our other tenants for comparable space. Whether rents paid by a taxable REIT subsidiary are substantially comparable to rents paid by other tenants is determined at the time the lease with the taxable REIT subsidiary is entered into, extended, and modified, if such modification increases the rents due under such lease. Notwithstanding the foregoing, however, if a lease with a “controlled</w:t>
      </w:r>
    </w:p>
    <w:p>
      <w:pPr>
        <w:spacing w:after="0" w:line="9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58</w:t>
      </w:r>
    </w:p>
    <w:p>
      <w:pPr>
        <w:sectPr>
          <w:pgSz w:w="11900" w:h="16838" w:orient="portrait"/>
          <w:cols w:equalWidth="0" w:num="1">
            <w:col w:w="10159"/>
          </w:cols>
          <w:pgMar w:left="300" w:top="388"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100" w:right="399"/>
        <w:spacing w:after="0" w:line="264" w:lineRule="auto"/>
        <w:rPr>
          <w:sz w:val="20"/>
          <w:szCs w:val="20"/>
          <w:color w:val="auto"/>
        </w:rPr>
      </w:pPr>
      <w:r>
        <w:rPr>
          <w:rFonts w:ascii="Times New Roman" w:cs="Times New Roman" w:eastAsia="Times New Roman" w:hAnsi="Times New Roman"/>
          <w:sz w:val="14"/>
          <w:szCs w:val="14"/>
          <w:color w:val="auto"/>
        </w:rPr>
        <w:t>taxable REIT subsidiary” is modified and such modification results in an increase in the rents payable by such taxable REIT subsidiary, any such increase will not qualify as “rents from real property.” For purposes of this rule, a “controlled taxable REIT subsidiary” is a taxable REIT subsidiary in which the parent REIT owns stock possessing more than 50% of the voting power or more than 50% of the total value of the outstanding stock of such taxable REIT subsidiary;</w:t>
      </w:r>
    </w:p>
    <w:p>
      <w:pPr>
        <w:spacing w:after="0" w:line="65" w:lineRule="exact"/>
        <w:rPr>
          <w:sz w:val="20"/>
          <w:szCs w:val="20"/>
          <w:color w:val="auto"/>
        </w:rPr>
      </w:pPr>
    </w:p>
    <w:p>
      <w:pPr>
        <w:ind w:left="2080" w:right="239" w:hanging="337"/>
        <w:spacing w:after="0" w:line="264" w:lineRule="auto"/>
        <w:tabs>
          <w:tab w:leader="none" w:pos="20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Rent attributable to personal property, leased in connection with a lease of real property, is not greater than 15% of the total rent received under the lease. If this condition is not met, then the portion of the rent attributable to personal property will not qualify as “rents from real property.” To the extent that rent attributable to personal property, leased in connection with a lease of real property, exceeds 15% of the total rent received under the lease, we may transfer a portion of such personal property to a taxable REIT subsidiary; and</w:t>
      </w:r>
    </w:p>
    <w:p>
      <w:pPr>
        <w:spacing w:after="0" w:line="65" w:lineRule="exact"/>
        <w:rPr>
          <w:rFonts w:ascii="Times New Roman" w:cs="Times New Roman" w:eastAsia="Times New Roman" w:hAnsi="Times New Roman"/>
          <w:sz w:val="14"/>
          <w:szCs w:val="14"/>
          <w:color w:val="auto"/>
        </w:rPr>
      </w:pPr>
    </w:p>
    <w:p>
      <w:pPr>
        <w:ind w:left="2080" w:right="219" w:hanging="337"/>
        <w:spacing w:after="0" w:line="257" w:lineRule="auto"/>
        <w:tabs>
          <w:tab w:leader="none" w:pos="20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generally may not operate or manage the property or furnish or render services to our tenants, subject to a 1% de minimis exception and except as provided below. We may, however, perform services that are “usually or customarily rendered” in connection with the rental of space for occupancy only and are not otherwise considered “rendered to the occupant” of the property. Examples of these services include the provision of light, heat, or other utilities, trash removal, general maintenance of common areas, interconnection services and certain basic server services that do not require logical access to our tenants’ equipment. In addition, we may employ an independent contractor from whom we derive no revenue to provide customary services to our tenants, or a taxable REIT subsidiary (which may be wholly or partially owned by us) to provide both customary and non-customary services to our tenants, without causing the rent we receive from those tenants to fail to qualify as “rents from real property.”</w:t>
      </w:r>
    </w:p>
    <w:p>
      <w:pPr>
        <w:spacing w:after="0" w:line="147"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We generally do not intend, and as the general partner of our operating partnership, we do not intend to permit our operating partnership, to take actions we believe will cause us to fail to satisfy the rental conditions described above. However, we may intentionally fail to satisfy some of these conditions to the extent we determine, based on the advice of our tax counsel, that the failure will not jeopardize our tax status as a REIT. In addition, with respect to the limitation on the rental of personal property, we generally have not obtained appraisals of the real property and personal property leased to tenants. Accordingly, there can be no assurance that the IRS will not disagree with our determinations of value.</w:t>
      </w:r>
    </w:p>
    <w:p>
      <w:pPr>
        <w:spacing w:after="0" w:line="142"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Income we receive that is attributable to the rental of parking spaces at the properties generally will constitute rents from real property for purposes of the gross income tests if certain services provided with respect to the parking spaces are performed by independent contractors from whom we derive no revenue, either directly or indirectly, or by a taxable REIT subsidiary, and certain other conditions are met. We believe that the income we receive that is attributable to parking spaces will meet these tests and, accordingly, will constitute rents from real property for purposes of the gross income tests.</w:t>
      </w:r>
    </w:p>
    <w:p>
      <w:pPr>
        <w:spacing w:after="0" w:line="140"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From time to time, we may enter into hedging transactions with respect to one or more of our assets or liabilities. Our hedging activities may include entering into interest rate swaps, caps, and floors, options to purchase these items, and futures and forward contracts. Income from a hedging transaction, including gain from the sale or disposition of such a transaction, that is clearly identified as a hedging transaction as specified in the Code will not constitute gross income under, and thus will be exempt from, the 75% and 95% gross income tests. The term “hedging transaction,” as used above, generally means (A) any transaction we enter into in the normal course of our business primarily to manage risk of (1) interest rate changes or fluctuations with respect to borrowings made or to be made by us to acquire or carry real estate assets, or (2) currency fluctuations with respect to an item of qualifying income under the 75% or 95% gross income test or any property which generates such income and (B) new transactions entered into to hedge the income or loss from prior hedging transactions, where any portion of the property or indebtedness which was the subject of the prior hedging transaction was extinguished or disposed of. To the extent that we do not properly identify such transactions as hedges or we hedge with other types of financial instruments, the income from those transactions is not likely to be treated as qualifying income</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59</w:t>
      </w:r>
    </w:p>
    <w:p>
      <w:pPr>
        <w:sectPr>
          <w:pgSz w:w="11900" w:h="16838" w:orient="portrait"/>
          <w:cols w:equalWidth="0" w:num="1">
            <w:col w:w="10159"/>
          </w:cols>
          <w:pgMar w:left="300" w:top="388" w:right="1440"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for purposes of the gross income tests. We intend to structure any hedging transactions in a manner that does not jeopardize our status as a REIT.</w:t>
      </w:r>
    </w:p>
    <w:p>
      <w:pPr>
        <w:spacing w:after="0" w:line="178" w:lineRule="exact"/>
        <w:rPr>
          <w:sz w:val="20"/>
          <w:szCs w:val="20"/>
          <w:color w:val="auto"/>
        </w:rPr>
      </w:pPr>
    </w:p>
    <w:p>
      <w:pPr>
        <w:ind w:left="1320" w:right="219"/>
        <w:spacing w:after="0" w:line="264" w:lineRule="auto"/>
        <w:rPr>
          <w:sz w:val="20"/>
          <w:szCs w:val="20"/>
          <w:color w:val="auto"/>
        </w:rPr>
      </w:pPr>
      <w:r>
        <w:rPr>
          <w:rFonts w:ascii="Times New Roman" w:cs="Times New Roman" w:eastAsia="Times New Roman" w:hAnsi="Times New Roman"/>
          <w:sz w:val="14"/>
          <w:szCs w:val="14"/>
          <w:color w:val="auto"/>
        </w:rPr>
        <w:t>We have investments in entities located outside the United States and from time to time may invest in additional entities or properties located outside the United States, through a taxable REIT subsidiary or otherwise. These acquisitions could cause us to incur foreign currency gains or losses. Any foreign currency gains, to the extent attributable to specified items of qualifying income or gain, or specified qualifying assets, however, generally will not constitute gross income for purposes of the 75% and 95% gross income tests, and therefore will be excluded from these tests.</w:t>
      </w:r>
    </w:p>
    <w:p>
      <w:pPr>
        <w:spacing w:after="0" w:line="140" w:lineRule="exact"/>
        <w:rPr>
          <w:sz w:val="20"/>
          <w:szCs w:val="20"/>
          <w:color w:val="auto"/>
        </w:rPr>
      </w:pPr>
    </w:p>
    <w:p>
      <w:pPr>
        <w:jc w:val="both"/>
        <w:ind w:left="1320" w:right="199"/>
        <w:spacing w:after="0" w:line="269" w:lineRule="auto"/>
        <w:rPr>
          <w:sz w:val="20"/>
          <w:szCs w:val="20"/>
          <w:color w:val="auto"/>
        </w:rPr>
      </w:pPr>
      <w:r>
        <w:rPr>
          <w:rFonts w:ascii="Times New Roman" w:cs="Times New Roman" w:eastAsia="Times New Roman" w:hAnsi="Times New Roman"/>
          <w:sz w:val="14"/>
          <w:szCs w:val="14"/>
          <w:color w:val="auto"/>
        </w:rPr>
        <w:t>To the extent our taxable REIT subsidiaries pay dividends or interest, our allocable share of such dividend or interest income will qualify under the 95%, but (subject to certain exceptions) not the 75%, gross income test. Notwithstanding the foregoing, our allocable share of such interest would also qualify under the 75% gross income test to the extent the interest is paid on a loan that is adequately secured by real property.</w:t>
      </w:r>
    </w:p>
    <w:p>
      <w:pPr>
        <w:spacing w:after="0" w:line="137" w:lineRule="exact"/>
        <w:rPr>
          <w:sz w:val="20"/>
          <w:szCs w:val="20"/>
          <w:color w:val="auto"/>
        </w:rPr>
      </w:pPr>
    </w:p>
    <w:p>
      <w:pPr>
        <w:jc w:val="both"/>
        <w:ind w:left="1320" w:right="419"/>
        <w:spacing w:after="0" w:line="269" w:lineRule="auto"/>
        <w:rPr>
          <w:sz w:val="20"/>
          <w:szCs w:val="20"/>
          <w:color w:val="auto"/>
        </w:rPr>
      </w:pPr>
      <w:r>
        <w:rPr>
          <w:rFonts w:ascii="Times New Roman" w:cs="Times New Roman" w:eastAsia="Times New Roman" w:hAnsi="Times New Roman"/>
          <w:sz w:val="14"/>
          <w:szCs w:val="14"/>
          <w:color w:val="auto"/>
        </w:rPr>
        <w:t>We will monitor the amount of the dividend and other income from our taxable REIT subsidiaries and will take actions intended to keep this income, and any other nonqualifying income, within the limitations of the gross income tests. Although we expect these actions will be sufficient to prevent a violation of the gross income tests, we cannot guarantee that such actions will in all cases prevent such a violation.</w:t>
      </w:r>
    </w:p>
    <w:p>
      <w:pPr>
        <w:spacing w:after="0" w:line="137" w:lineRule="exact"/>
        <w:rPr>
          <w:sz w:val="20"/>
          <w:szCs w:val="20"/>
          <w:color w:val="auto"/>
        </w:rPr>
      </w:pPr>
    </w:p>
    <w:p>
      <w:pPr>
        <w:ind w:left="1320" w:right="259"/>
        <w:spacing w:after="0" w:line="286" w:lineRule="auto"/>
        <w:rPr>
          <w:sz w:val="20"/>
          <w:szCs w:val="20"/>
          <w:color w:val="auto"/>
        </w:rPr>
      </w:pPr>
      <w:r>
        <w:rPr>
          <w:rFonts w:ascii="Times New Roman" w:cs="Times New Roman" w:eastAsia="Times New Roman" w:hAnsi="Times New Roman"/>
          <w:sz w:val="14"/>
          <w:szCs w:val="14"/>
          <w:color w:val="auto"/>
        </w:rPr>
        <w:t>If we fail to satisfy one or both of the 75% or 95% gross income tests for any taxable year, we may nevertheless qualify as a REIT for the year if we are entitled to relief under certain provisions of the Code. We generally may make use of the relief provisions if:</w:t>
      </w:r>
    </w:p>
    <w:p>
      <w:pPr>
        <w:spacing w:after="0" w:line="51" w:lineRule="exact"/>
        <w:rPr>
          <w:sz w:val="20"/>
          <w:szCs w:val="20"/>
          <w:color w:val="auto"/>
        </w:rPr>
      </w:pPr>
    </w:p>
    <w:p>
      <w:pPr>
        <w:ind w:left="2080" w:right="279" w:hanging="337"/>
        <w:spacing w:after="0" w:line="269" w:lineRule="auto"/>
        <w:tabs>
          <w:tab w:leader="none" w:pos="20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our identification of the failure to meet the 75% or 95% gross income tests for any taxable year, we file a schedule with the IRS setting forth each item of our gross income for purposes of the 75% or 95% gross income tests for such taxable year in accordance with Treasury Regulations to be issued; and</w:t>
      </w:r>
    </w:p>
    <w:p>
      <w:pPr>
        <w:spacing w:after="0" w:line="62"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meet these tests was due to reasonable cause and not due to willful neglect.</w:t>
      </w:r>
    </w:p>
    <w:p>
      <w:pPr>
        <w:spacing w:after="0" w:line="178"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It is not possible, however, to state whether in all circumstances we would be entitled to the benefit of these relief provisions. For example, if we fail to satisfy the gross income tests because nonqualifying income that we intentionally accrue or receive exceeds the limits on nonqualifying income, the IRS could conclude that our failure to satisfy the tests was not due to reasonable cause. If these relief provisions do not apply to a particular set of circumstances, we will not qualify as a REIT. See “—Failure to Qualify” below. As discussed above in “—General,” even if these relief provisions apply, and we retain our status as a REIT, a tax would be imposed with respect to our nonqualifying income. We may not always be able to comply with the gross income tests for REIT qualification despite periodic monitoring of our income.</w:t>
      </w:r>
    </w:p>
    <w:p>
      <w:pPr>
        <w:spacing w:after="0" w:line="143"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Prohibited Transaction Income</w:t>
      </w:r>
      <w:r>
        <w:rPr>
          <w:rFonts w:ascii="Times New Roman" w:cs="Times New Roman" w:eastAsia="Times New Roman" w:hAnsi="Times New Roman"/>
          <w:sz w:val="14"/>
          <w:szCs w:val="14"/>
          <w:color w:val="auto"/>
        </w:rPr>
        <w:t>. Any gain that we realize on the sale of property (other than any foreclosure property) held as inventory or otherwise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held primarily for sale to customers in the ordinary course of business, including our share of any such gain realized by our operating partnership, either directly or through its subsidiary partnerships, will be treated as income from a prohibited transaction that is subject to a 100% penalty tax, unless certain safe harbor exceptions apply. This prohibited transaction income may also adversely affect our ability to satisfy the gross income tests for qualification as a REIT. Under existing law, whether property is held as inventory or primarily for sale to customers in the ordinary course of a trade or business is a question of fact that depends on all the facts and circumstances surrounding the particular transaction. As the general partner of our operating partnership, we intend to cause our operating partnership to hold its properties for investment with a view to long-term appreciation, to engage in the business of acquiring, developing and owning its properties and to make occasional sales of the properties as are consistent with our investment objectives. We do not intend, and do not intend to permit our operating partnership or its subsidiary partnerships, to enter into any sales that are prohibited transactions. However, the IRS may successfully contend that some or all of the sales made by our</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60</w:t>
      </w:r>
    </w:p>
    <w:p>
      <w:pPr>
        <w:sectPr>
          <w:pgSz w:w="11900" w:h="16838" w:orient="portrait"/>
          <w:cols w:equalWidth="0" w:num="1">
            <w:col w:w="10159"/>
          </w:cols>
          <w:pgMar w:left="300" w:top="388"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69" w:lineRule="auto"/>
        <w:rPr>
          <w:sz w:val="20"/>
          <w:szCs w:val="20"/>
          <w:color w:val="auto"/>
        </w:rPr>
      </w:pPr>
      <w:r>
        <w:rPr>
          <w:rFonts w:ascii="Times New Roman" w:cs="Times New Roman" w:eastAsia="Times New Roman" w:hAnsi="Times New Roman"/>
          <w:sz w:val="14"/>
          <w:szCs w:val="14"/>
          <w:color w:val="auto"/>
        </w:rPr>
        <w:t>operating partnership or its subsidiary partnerships are prohibited transactions. We would be required to pay the 100% penalty tax on our allocable share of the gains resulting from any such sales. The 100% penalty tax will not apply to gains from the sale of assets that are held through a taxable REIT subsidiary, but such income will be subject to regular U.S. federal corporate income tax.</w:t>
      </w:r>
    </w:p>
    <w:p>
      <w:pPr>
        <w:spacing w:after="0" w:line="135" w:lineRule="exact"/>
        <w:rPr>
          <w:sz w:val="20"/>
          <w:szCs w:val="20"/>
          <w:color w:val="auto"/>
        </w:rPr>
      </w:pPr>
    </w:p>
    <w:p>
      <w:pPr>
        <w:ind w:left="1320" w:right="39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Penalty Tax</w:t>
      </w:r>
      <w:r>
        <w:rPr>
          <w:rFonts w:ascii="Times New Roman" w:cs="Times New Roman" w:eastAsia="Times New Roman" w:hAnsi="Times New Roman"/>
          <w:sz w:val="14"/>
          <w:szCs w:val="14"/>
          <w:color w:val="auto"/>
        </w:rPr>
        <w:t>. Any redetermined rents, redetermined deductions, excess interest or redetermined TRS service income we generate will be subject to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100% penalty tax. In general, redetermined rents are rents from real property that are overstated as a result of any services furnished to any of our tenants by a taxable REIT subsidiary of ours, redetermined deductions and excess interest represent any amounts that are deducted by a taxable REIT subsidiary of ours for amounts paid to us that are in excess of the amounts that would have been deducted based on arm’s length negotiations, and redetermined TRS service income is income of a taxable REIT subsidiary that is understated as a result of services provided to us or on our behalf. Rents we receive will not constitute redetermined rents if they qualify for certain safe harbor provisions contained in the Code.</w:t>
      </w:r>
    </w:p>
    <w:p>
      <w:pPr>
        <w:spacing w:after="0" w:line="143" w:lineRule="exact"/>
        <w:rPr>
          <w:sz w:val="20"/>
          <w:szCs w:val="20"/>
          <w:color w:val="auto"/>
        </w:rPr>
      </w:pPr>
    </w:p>
    <w:p>
      <w:pPr>
        <w:ind w:left="1320" w:right="359"/>
        <w:spacing w:after="0" w:line="261" w:lineRule="auto"/>
        <w:rPr>
          <w:sz w:val="20"/>
          <w:szCs w:val="20"/>
          <w:color w:val="auto"/>
        </w:rPr>
      </w:pPr>
      <w:r>
        <w:rPr>
          <w:rFonts w:ascii="Times New Roman" w:cs="Times New Roman" w:eastAsia="Times New Roman" w:hAnsi="Times New Roman"/>
          <w:sz w:val="14"/>
          <w:szCs w:val="14"/>
          <w:color w:val="auto"/>
        </w:rPr>
        <w:t>From time to time, certain of our taxable REIT subsidiaries provide services to our tenants. We believe we have set, and we intend to set in the future, any fees paid to our taxable REIT subsidiaries for such services at arm’s length rates, although the fees paid may not satisfy the safe harbor provisions referenced above. These determinations are inherently factual, and the IRS has broad discretion to assert that amounts paid between related parties should be reallocated to clearly reflect their respective incomes. If the IRS successfully made such an assertion, we would be required to pay a 100% penalty tax on any overstated rents paid to us, or any excess deductions or understated income of our taxable REIT subsidiaries.</w:t>
      </w:r>
    </w:p>
    <w:p>
      <w:pPr>
        <w:spacing w:after="0" w:line="140" w:lineRule="exact"/>
        <w:rPr>
          <w:sz w:val="20"/>
          <w:szCs w:val="20"/>
          <w:color w:val="auto"/>
        </w:rPr>
      </w:pPr>
    </w:p>
    <w:p>
      <w:pPr>
        <w:ind w:left="1320" w:right="31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Asset Tests</w:t>
      </w:r>
      <w:r>
        <w:rPr>
          <w:rFonts w:ascii="Times New Roman" w:cs="Times New Roman" w:eastAsia="Times New Roman" w:hAnsi="Times New Roman"/>
          <w:sz w:val="14"/>
          <w:szCs w:val="14"/>
          <w:color w:val="auto"/>
        </w:rPr>
        <w:t>. At the close of each calendar quarter of our taxable year, we must also satisfy certain tests relating to the nature and diversification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assets. First, at least 75% of the value of our total assets must be represented by real estate assets, cash, cash items and U.S. government securities. For purposes of this test, the term “real estate assets” generally means real property (including interests in real property and interests in mortgages on real property or on both real property and, to a limited extent, personal property), shares (or transferable certificates of beneficial interest) in other REITs, any stock or debt instrument attributable to the investment of the proceeds of a stock offering or a public offering of debt with a term of at least five years (but only for the one-year period beginning on the date the REIT receives such proceeds), debt instruments of publicly offered REITs, and personal property leased in connection with a lease of real property for which the rent attributable to personal property is not greater than 15% of the total rent received under the lease.</w:t>
      </w:r>
    </w:p>
    <w:p>
      <w:pPr>
        <w:spacing w:after="0" w:line="144" w:lineRule="exact"/>
        <w:rPr>
          <w:sz w:val="20"/>
          <w:szCs w:val="20"/>
          <w:color w:val="auto"/>
        </w:rPr>
      </w:pPr>
    </w:p>
    <w:p>
      <w:pPr>
        <w:ind w:left="1320" w:right="419"/>
        <w:spacing w:after="0" w:line="286" w:lineRule="auto"/>
        <w:rPr>
          <w:sz w:val="20"/>
          <w:szCs w:val="20"/>
          <w:color w:val="auto"/>
        </w:rPr>
      </w:pPr>
      <w:r>
        <w:rPr>
          <w:rFonts w:ascii="Times New Roman" w:cs="Times New Roman" w:eastAsia="Times New Roman" w:hAnsi="Times New Roman"/>
          <w:sz w:val="14"/>
          <w:szCs w:val="14"/>
          <w:color w:val="auto"/>
        </w:rPr>
        <w:t>Second, not more than 25% of the value of our total assets may be represented by securities (including securities of taxable REIT subsidiaries), other than those securities includable in the 75% asset test.</w:t>
      </w:r>
    </w:p>
    <w:p>
      <w:pPr>
        <w:spacing w:after="0" w:line="125"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Third, of the investments included in the 25% asset class, and except for certain investments in other REITs, our qualified REIT subsidiaries and taxable REIT subsidiaries, the value of any one issuer’s securities may not exceed 5% of the value of our total assets, and we may not own more than 10% of the total vote or value of the outstanding securities of any one issuer. Certain types of securities we may own are disregarded as securities solely for purposes of the 10% value test, including, but not limited to, securities satisfying the “straight debt” safe harbor, securities issued by a partnership that itself would satisfy the 75% income test if it were a REIT, any loan to an individual or an estate, any obligation to pay rents from real property and any security issued by a REIT. In addition, solely for purposes of the 10% value test, the determination of our interest in the assets of a partnership in which we own an interest will be based on our proportionate interest in any securities issued by the partnership, excluding for this purpose certain securities described in the Code. From time to time we may own securities (including debt securities) of issuers that do not qualify as a REIT, a qualified REIT subsidiary or a taxable REIT subsidiary. We intend that our ownership of any such securities will be structured in a manner that allows us to comply with the asset tests described above.</w:t>
      </w:r>
    </w:p>
    <w:p>
      <w:pPr>
        <w:spacing w:after="0" w:line="148" w:lineRule="exact"/>
        <w:rPr>
          <w:sz w:val="20"/>
          <w:szCs w:val="20"/>
          <w:color w:val="auto"/>
        </w:rPr>
      </w:pPr>
    </w:p>
    <w:p>
      <w:pPr>
        <w:ind w:left="1320" w:right="519"/>
        <w:spacing w:after="0" w:line="286" w:lineRule="auto"/>
        <w:rPr>
          <w:sz w:val="20"/>
          <w:szCs w:val="20"/>
          <w:color w:val="auto"/>
        </w:rPr>
      </w:pPr>
      <w:r>
        <w:rPr>
          <w:rFonts w:ascii="Times New Roman" w:cs="Times New Roman" w:eastAsia="Times New Roman" w:hAnsi="Times New Roman"/>
          <w:sz w:val="14"/>
          <w:szCs w:val="14"/>
          <w:color w:val="auto"/>
        </w:rPr>
        <w:t>Fourth, not more than 25% (20% for (i) taxable years beginning before July 31, 2008 and (ii) taxable years beginning after December 31, 2017 and before January 1, 2026) of the value of our total assets may be</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61</w:t>
      </w:r>
    </w:p>
    <w:p>
      <w:pPr>
        <w:sectPr>
          <w:pgSz w:w="11900" w:h="16838" w:orient="portrait"/>
          <w:cols w:equalWidth="0" w:num="1">
            <w:col w:w="10159"/>
          </w:cols>
          <w:pgMar w:left="300" w:top="388" w:right="1440"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59"/>
        <w:spacing w:after="0" w:line="257" w:lineRule="auto"/>
        <w:rPr>
          <w:sz w:val="20"/>
          <w:szCs w:val="20"/>
          <w:color w:val="auto"/>
        </w:rPr>
      </w:pPr>
      <w:r>
        <w:rPr>
          <w:rFonts w:ascii="Times New Roman" w:cs="Times New Roman" w:eastAsia="Times New Roman" w:hAnsi="Times New Roman"/>
          <w:sz w:val="14"/>
          <w:szCs w:val="14"/>
          <w:color w:val="auto"/>
        </w:rPr>
        <w:t>represented by the securities of one or more taxable REIT subsidiaries. We, through our operating partnership, own interests in companies that have elected, together with us, to be treated as our taxable REIT subsidiaries, and we may acquire securities in additional taxable REIT subsidiaries in the future. So long as each of these companies qualifies as a taxable REIT subsidiary of ours, we will not be subject to the 5% asset test, the 10% voting power limitation or the 10% value limitation with respect to our ownership of the securities of such companies. We believe that the aggregate value of our taxable REIT subsidiaries has not exceeded, and in the future will not exceed, 25% (20% for (i) taxable years beginning before July 31, 2008 and</w:t>
      </w:r>
    </w:p>
    <w:p>
      <w:pPr>
        <w:ind w:left="1320" w:right="279" w:hanging="1"/>
        <w:spacing w:after="0" w:line="259" w:lineRule="auto"/>
        <w:tabs>
          <w:tab w:leader="none" w:pos="1528"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taxable years beginning after December 31, 2017 and before January 1, 2026) of the aggregate value of our gross assets. We generally do not obtain independent appraisals to support these conclusions. In addition, there can be no assurance that the IRS will not disagree with our determinations of value.</w:t>
      </w:r>
    </w:p>
    <w:p>
      <w:pPr>
        <w:spacing w:after="0" w:line="143" w:lineRule="exact"/>
        <w:rPr>
          <w:sz w:val="20"/>
          <w:szCs w:val="20"/>
          <w:color w:val="auto"/>
        </w:rPr>
      </w:pPr>
    </w:p>
    <w:p>
      <w:pPr>
        <w:ind w:left="1320" w:right="459"/>
        <w:spacing w:after="0" w:line="269" w:lineRule="auto"/>
        <w:rPr>
          <w:sz w:val="20"/>
          <w:szCs w:val="20"/>
          <w:color w:val="auto"/>
        </w:rPr>
      </w:pPr>
      <w:r>
        <w:rPr>
          <w:rFonts w:ascii="Times New Roman" w:cs="Times New Roman" w:eastAsia="Times New Roman" w:hAnsi="Times New Roman"/>
          <w:sz w:val="14"/>
          <w:szCs w:val="14"/>
          <w:color w:val="auto"/>
        </w:rPr>
        <w:t>Fifth, not more than 25% of the value of our total assets may be represented by debt instruments of publicly offered REITs to the extent those debt instruments would not be real estate assets but for the inclusion of debt instruments of publicly offered REITs in the meaning of real estate assets, as described above (e.g., a debt instrument issued by a publicly offered REIT that is not secured by a mortgage on real property).</w:t>
      </w:r>
    </w:p>
    <w:p>
      <w:pPr>
        <w:spacing w:after="0" w:line="137"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The asset tests must be satisfied at the close of each calendar quarter of our taxable year in which we (directly or through any partnership or qualified REIT subsidiary) acquire securities in the applicable issuer, and also at the close of each calendar quarter in which we increase our ownership of securities of such issuer (including as a result of an increase in our interest in any partnership that owns such securities). For example, our indirect ownership of securities of each issuer will increase as a result of our capital contributions to our operating partnership or as limited partners exercise any redemption/exchange rights. Also, after initially meeting the asset tests at the close of any quarter, we will not lose our status as a REIT for failure to satisfy the asset tests at the end of a later quarter solely by reason of changes in asset values. If we fail to satisfy an asset test because we acquire securities or other property during a quarter (including as a result of an increase in our interest in any partnership), we may cure this failure by disposing of sufficient nonqualifying assets within 30 days after the close of that quarter. We believe that we have maintained, and we intend to maintain, adequate records of the value of our assets to ensure compliance with the asset tests. If we fail to cure any noncompliance with the asset tests within the 30-day cure period, we would cease to qualify as a REIT unless we are eligible for certain relief provisions discussed below.</w:t>
      </w:r>
    </w:p>
    <w:p>
      <w:pPr>
        <w:spacing w:after="0" w:line="148"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Certain relief provisions may be available to us if we discover a failure to satisfy the asset tests described above after the 30-day cure period. Under these provisions, we will be deemed to have met the 5% and 10% asset tests if the value of our nonqualifying assets (i) does not exceed the lesser of (a) 1% of the total value of our assets at the end of the applicable quarter or (b) $10,000,000, and (ii) we dispose of the nonqualifying assets or otherwise satisfy such tests within (a) six months after the last day of the quarter in which the failure to satisfy the asset tests is discovered or (b) the period of time prescribed by Treasury Regulations to be issued. For violations of any of the asset tests due to reasonable cause and not due to willful neglect and that are, in the case of the 5% and 10% asset tests, in excess of the de minimis exception described above, we may avoid disqualification as a REIT after the 30-day cure period by taking steps including (i) the disposition of sufficient nonqualifying assets, or the taking of other actions, which allow us to meet the asset tests within (a) six months after the last day of the quarter in which the failure to satisfy the asset tests is discovered or (b) the period of time prescribed by Treasury Regulations to be issued, (ii) paying a tax equal to the greater of (a) $50,000 or (b) the U.S. federal corporate income tax rate multiplied by the net income generated by the nonqualifying assets, and (iii) disclosing certain information to the IRS.</w:t>
      </w:r>
    </w:p>
    <w:p>
      <w:pPr>
        <w:spacing w:after="0" w:line="148" w:lineRule="exact"/>
        <w:rPr>
          <w:sz w:val="20"/>
          <w:szCs w:val="20"/>
          <w:color w:val="auto"/>
        </w:rPr>
      </w:pPr>
    </w:p>
    <w:p>
      <w:pPr>
        <w:ind w:left="1320" w:right="359"/>
        <w:spacing w:after="0" w:line="264" w:lineRule="auto"/>
        <w:rPr>
          <w:sz w:val="20"/>
          <w:szCs w:val="20"/>
          <w:color w:val="auto"/>
        </w:rPr>
      </w:pPr>
      <w:r>
        <w:rPr>
          <w:rFonts w:ascii="Times New Roman" w:cs="Times New Roman" w:eastAsia="Times New Roman" w:hAnsi="Times New Roman"/>
          <w:sz w:val="14"/>
          <w:szCs w:val="14"/>
          <w:color w:val="auto"/>
        </w:rPr>
        <w:t>Although we believe we have satisfied the asset tests described above and plan to take steps to ensure that we satisfy such tests for any quarter with respect to which retesting is to occur, there can be no assurance that we will always be successful, or will not require a reduction in our operating partnership’s overall interest in an issuer (including in a taxable REIT subsidiary). If we fail to cure any noncompliance with the asset tests in a timely manner, and the relief provisions described above are not available, we would cease to qualify as a REIT.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62</w:t>
      </w:r>
    </w:p>
    <w:p>
      <w:pPr>
        <w:sectPr>
          <w:pgSz w:w="11900" w:h="16838" w:orient="portrait"/>
          <w:cols w:equalWidth="0" w:num="1">
            <w:col w:w="10159"/>
          </w:cols>
          <w:pgMar w:left="300" w:top="388" w:right="1440"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9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Annual Distribution Requirements</w:t>
      </w:r>
      <w:r>
        <w:rPr>
          <w:rFonts w:ascii="Times New Roman" w:cs="Times New Roman" w:eastAsia="Times New Roman" w:hAnsi="Times New Roman"/>
          <w:sz w:val="14"/>
          <w:szCs w:val="14"/>
          <w:color w:val="auto"/>
        </w:rPr>
        <w:t>. To maintain our qualification as a REIT, we are required to distribute dividends, other than capital gain dividends,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our stockholders each year in an amount at least equal to the sum of:</w:t>
      </w:r>
    </w:p>
    <w:p>
      <w:pPr>
        <w:spacing w:after="0" w:line="49" w:lineRule="exact"/>
        <w:rPr>
          <w:sz w:val="20"/>
          <w:szCs w:val="20"/>
          <w:color w:val="auto"/>
        </w:rPr>
      </w:pPr>
    </w:p>
    <w:p>
      <w:pPr>
        <w:ind w:left="2080" w:hanging="337"/>
        <w:spacing w:after="0"/>
        <w:tabs>
          <w:tab w:leader="none" w:pos="2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“REIT taxable income”;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90% of our after-tax net income, if any, from foreclosure property; minus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excess of the sum of certain items of non-cash income over 5% of our “REIT taxable income.”</w:t>
      </w:r>
    </w:p>
    <w:p>
      <w:pPr>
        <w:spacing w:after="0" w:line="178" w:lineRule="exact"/>
        <w:rPr>
          <w:sz w:val="20"/>
          <w:szCs w:val="20"/>
          <w:color w:val="auto"/>
        </w:rPr>
      </w:pPr>
    </w:p>
    <w:p>
      <w:pPr>
        <w:ind w:left="1320" w:right="479"/>
        <w:spacing w:after="0" w:line="269" w:lineRule="auto"/>
        <w:rPr>
          <w:sz w:val="20"/>
          <w:szCs w:val="20"/>
          <w:color w:val="auto"/>
        </w:rPr>
      </w:pPr>
      <w:r>
        <w:rPr>
          <w:rFonts w:ascii="Times New Roman" w:cs="Times New Roman" w:eastAsia="Times New Roman" w:hAnsi="Times New Roman"/>
          <w:sz w:val="14"/>
          <w:szCs w:val="14"/>
          <w:color w:val="auto"/>
        </w:rPr>
        <w:t>For these purposes, our “REIT taxable income” is computed without regard to the dividends paid deduction and our net capital gain. In addition, for purposes of this test, non-cash income generally means income attributable to leveled stepped rents, original issue discount, cancellation of indebtedness, or a like-kind exchange that is later determined to be taxable.</w:t>
      </w:r>
    </w:p>
    <w:p>
      <w:pPr>
        <w:spacing w:after="0" w:line="137"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In addition, our “REIT taxable income” will be reduced by any taxes we are required to pay on any gain we recognize from the disposition of any asset we acquired from a corporation that is or has been a C corporation in a transaction in which our tax basis in the asset is less than the fair market value of the asset, in each case determined as of the date on which we acquired the asset, within the five-year period following our acquisition of such asset, as described above under “—General.”</w:t>
      </w:r>
    </w:p>
    <w:p>
      <w:pPr>
        <w:spacing w:after="0" w:line="140"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Except as provided below, a taxpayer’s deduction for net business interest expense will generally be limited to 30% of its taxable income, as adjusted for certain items of income, gain, deduction or loss. Any business interest deduction that is disallowed due to this limitation may be carried forward to future taxable years, subject to special rules applicable to partnerships. If we or any of our subsidiary partnerships (including our operating partnership) are subject to this interest expense limitation, our REIT taxable income for a taxable year may be increased. Taxpayers that conduct certain real estate businesses may elect not to have this interest expense limitation apply to them, provided that they use an alternative depreciation system to depreciate certain property. We believe that we or any of our subsidiary partnerships that are subject to this interest expense limitation will be eligible to make this election. If such election is made, although we or such subsidiary partnership, as applicable, would not be subject to the interest expense limitation described above, depreciation deductions may be reduced and, as a result, our REIT taxable income for a taxable year may be increased.</w:t>
      </w:r>
    </w:p>
    <w:p>
      <w:pPr>
        <w:spacing w:after="0" w:line="147"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color w:val="auto"/>
        </w:rPr>
        <w:t>We generally must pay, or be treated as paying, the distributions described above in the taxable year to which they relate. At our election, a distribution will be treated as paid in a taxable year if it is declared before we timely file our tax return for such year and paid on or before the first regular dividend payment after such declaration, provided such payment is made during the 12-month period following the close of such year. These distributions are treated as received by our stockholders in the year in which they are paid. This is so even though these distributions relate to the prior year for purposes of the 90% distribution requirement. In order to be taken into account for purposes of our distribution requirement, except as provided below, the amount distributed must not be preferential—i.e., every stockholder of the class of stock to which a distribution is made must be treated the same as every other stockholder of that class, and no class of stock may be treated other than according to its dividend rights as a class. This preferential dividend limitation will not apply to distributions made by us, provided we qualify as a “publicly offered REIT.” We believe that we are, and expect we will continue to be, a “publicly offered REIT.” However, Subsidiary REITs we may own from time to time may not be publicly offered REITs. To the extent that we do not distribute all of our net capital gain, or distribute at least 90%, but less than 100%, of our “REIT taxable income,” as adjusted, we will be required to pay regular U.S. federal corporate income tax on the undistributed amount. We believe that we have made, and we intend to continue to make, timely distributions sufficient to satisfy these annual distribution requirements and to minimize our corporate tax obligations. In this regard, the partnership agreement of our operating partnership authorizes us, as the general partner of our operating partnership, to take such steps as may be necessary to cause our operating partnership to distribute to its partners an amount sufficient to permit us to meet these distribution requirements and to minimize our corporate tax obligation.</w:t>
      </w:r>
    </w:p>
    <w:p>
      <w:pPr>
        <w:spacing w:after="0" w:line="9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63</w:t>
      </w:r>
    </w:p>
    <w:p>
      <w:pPr>
        <w:sectPr>
          <w:pgSz w:w="11900" w:h="16838" w:orient="portrait"/>
          <w:cols w:equalWidth="0" w:num="1">
            <w:col w:w="10159"/>
          </w:cols>
          <w:pgMar w:left="300" w:top="388" w:right="1440"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We expect that our REIT taxable income will be less than our cash flow because of depreciation and other non-cash charges included in computing REIT taxable income. Accordingly, we anticipate that we generally will have sufficient cash or liquid assets to enable us to satisfy the distribution requirements described above. However, from time to time, we may not have sufficient cash or other liquid assets to meet these distribution requirements due to timing differences between the actual receipt of income and actual payment of deductible expenses, and the inclusion of income and deduction of expenses in determining our taxable income. In addition, we may decide to retain our cash, rather than distribute it, in order to repay debt or for other reasons. If these timing differences occur, we may borrow funds to pay dividends or pay dividends in the form of taxable stock distributions in order to meet the distribution requirements, while preserving our cash.</w:t>
      </w:r>
    </w:p>
    <w:p>
      <w:pPr>
        <w:spacing w:after="0" w:line="145"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Under some circumstances, we may be able to rectify an inadvertent failure to meet the 90% distribution requirement for a year by paying “deficiency dividends” to our stockholders in a later year, which may be included in our deduction for dividends paid for the earlier year. In that case, we may be able to avoid being taxed on amounts distributed as deficiency dividends, subject to the 4% excise tax described below. However, we will be required to pay interest to the IRS based upon the amount of any deduction claimed for deficiency dividends. While the payment of a deficiency dividend will apply to a prior year for purposes of our REIT distribution requirements, it will be treated as an additional distribution to our stockholders in the year such dividend is paid.</w:t>
      </w:r>
    </w:p>
    <w:p>
      <w:pPr>
        <w:spacing w:after="0" w:line="145"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Furthermore, we will be required to pay a 4% excise tax to the extent we fail to distribute during each calendar year at least the sum of 85% of our ordinary income for such year, 95% of our capital gain net income for the year and any undistributed taxable income from prior periods. Any ordinary income and net capital gain on which U.S. federal corporate income tax is imposed for any year is treated as an amount distributed during that year for purposes of calculating this excise tax.</w:t>
      </w:r>
    </w:p>
    <w:p>
      <w:pPr>
        <w:spacing w:after="0" w:line="140" w:lineRule="exact"/>
        <w:rPr>
          <w:sz w:val="20"/>
          <w:szCs w:val="20"/>
          <w:color w:val="auto"/>
        </w:rPr>
      </w:pPr>
    </w:p>
    <w:p>
      <w:pPr>
        <w:ind w:left="1320" w:right="279"/>
        <w:spacing w:after="0" w:line="269" w:lineRule="auto"/>
        <w:rPr>
          <w:sz w:val="20"/>
          <w:szCs w:val="20"/>
          <w:color w:val="auto"/>
        </w:rPr>
      </w:pPr>
      <w:r>
        <w:rPr>
          <w:rFonts w:ascii="Times New Roman" w:cs="Times New Roman" w:eastAsia="Times New Roman" w:hAnsi="Times New Roman"/>
          <w:sz w:val="14"/>
          <w:szCs w:val="14"/>
          <w:color w:val="auto"/>
        </w:rPr>
        <w:t>For purposes of the 90% distribution requirement and excise tax described above, dividends declared during the last three months of the taxable year, payable to stockholders of record on a specified date during such period and paid during January of the following year, will be treated as paid by us and received by our stockholders on December 31 of the year in which they are declared.</w:t>
      </w:r>
    </w:p>
    <w:p>
      <w:pPr>
        <w:spacing w:after="0" w:line="135" w:lineRule="exact"/>
        <w:rPr>
          <w:sz w:val="20"/>
          <w:szCs w:val="20"/>
          <w:color w:val="auto"/>
        </w:rPr>
      </w:pPr>
    </w:p>
    <w:p>
      <w:pPr>
        <w:ind w:left="1320" w:right="2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Like-Kind Exchanges</w:t>
      </w:r>
      <w:r>
        <w:rPr>
          <w:rFonts w:ascii="Times New Roman" w:cs="Times New Roman" w:eastAsia="Times New Roman" w:hAnsi="Times New Roman"/>
          <w:sz w:val="14"/>
          <w:szCs w:val="14"/>
          <w:color w:val="auto"/>
        </w:rPr>
        <w:t>. We may dispose of real property that is not held primarily for sale in transactions intended to qualify as like-kind exchanges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the Code. Such like-kind exchanges are intended to result in the deferral of gain for U.S. federal income tax purposes. The failure of any such transaction to qualify as a like-kind exchange could require us to pay U.S. federal income tax, possibly including the 100% prohibited transaction tax, or deficiency dividends, depending on the facts and circumstances surrounding the particular transaction.</w:t>
      </w:r>
    </w:p>
    <w:p>
      <w:pPr>
        <w:spacing w:after="0" w:line="137" w:lineRule="exact"/>
        <w:rPr>
          <w:sz w:val="20"/>
          <w:szCs w:val="20"/>
          <w:color w:val="auto"/>
        </w:rPr>
      </w:pPr>
    </w:p>
    <w:p>
      <w:pPr>
        <w:ind w:left="1320" w:right="27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Tax Liabilities and Attributes Inherited in Connection with Acquisitions</w:t>
      </w:r>
      <w:r>
        <w:rPr>
          <w:rFonts w:ascii="Times New Roman" w:cs="Times New Roman" w:eastAsia="Times New Roman" w:hAnsi="Times New Roman"/>
          <w:sz w:val="14"/>
          <w:szCs w:val="14"/>
          <w:color w:val="auto"/>
        </w:rPr>
        <w:t>. From time to time, we or our operating partnership may acquire other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corporations or entities and, in connection with such acquisitions, we may succeed to the historical tax attributes and liabilities of such entities. For example, if we acquire a C corporation and subsequently dispose of its assets within five years of the acquisition, we could be required to pay the built-in gain tax described above under “—General.” In addition, in order to qualify as a REIT, at the end of any taxable year, we must not have any earnings and profits accumulated in a non-REIT year. As a result, if we acquire a C corporation, we must distribute the corporation’s earnings and profits accumulated prior to the acquisition before the end of the taxable year in which we acquire the corporation. We also could be required to pay the acquired entity’s unpaid taxes even though such liabilities arose prior to the time we acquired the entity.</w:t>
      </w:r>
    </w:p>
    <w:p>
      <w:pPr>
        <w:spacing w:after="0" w:line="143"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Moreover, we or one of our subsidiaries may from time to time acquire other REITs through a merger or acquisition. If any such REIT failed to qualify as a REIT for any of its taxable years, such REIT would be liable for (and we or our subsidiary, as applicable, as the surviving corporation in the merger or acquisition, would be obligated to pay) regular U.S. federal corporate income tax on its taxable income for such taxable years. In addition, if such REIT was a C corporation at the time of the merger or acquisition, the tax consequences described in the preceding paragraph generally would apply. If such REIT failed to qualify as a REIT for any of</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64</w:t>
      </w:r>
    </w:p>
    <w:p>
      <w:pPr>
        <w:sectPr>
          <w:pgSz w:w="11900" w:h="16838" w:orient="portrait"/>
          <w:cols w:equalWidth="0" w:num="1">
            <w:col w:w="10159"/>
          </w:cols>
          <w:pgMar w:left="300" w:top="388" w:right="1440"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color w:val="auto"/>
        </w:rPr>
        <w:t>its taxable years, but qualified as a REIT at the time of such merger or acquisition, and we acquired such REIT’s assets in a transaction in which our tax basis in the assets of such REIT is determined, in whole or in part, by reference to such REIT’s tax basis in such assets, we generally would be subject to tax on the built-in gain on each asset of such REIT as described above if we were to dispose of the asset in a taxable transaction during the five-year period following such REIT’s requalification as a REIT, subject to certain exceptions. Moreover, even if such REIT qualified as a REIT at all relevant times, we would similarly be liable for other unpaid taxes (if any) of such REIT (such as the 100% tax on gains from any sales treated as “prohibited transactions” as described above under “—Prohibited Transaction Income”).</w:t>
      </w:r>
    </w:p>
    <w:p>
      <w:pPr>
        <w:spacing w:after="0" w:line="145"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Furthermore, after our acquisition of another corporation or entity, the asset and income tests will apply to all of our assets, including the assets we acquire from such corporation or entity, and to all of our income, including the income derived from the assets we acquire from such corporation or entity. As a result, the nature of the assets that we acquire from such corporation or entity and the income we derive from those assets may have an effect on our tax status as a REIT.</w:t>
      </w:r>
    </w:p>
    <w:p>
      <w:pPr>
        <w:spacing w:after="0" w:line="138"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Failure to Qualify</w:t>
      </w:r>
      <w:r>
        <w:rPr>
          <w:rFonts w:ascii="Times New Roman" w:cs="Times New Roman" w:eastAsia="Times New Roman" w:hAnsi="Times New Roman"/>
          <w:sz w:val="14"/>
          <w:szCs w:val="14"/>
          <w:color w:val="auto"/>
        </w:rPr>
        <w:t>. If we discover a violation of a provision of the Code that would result in our failure to qualify as a REIT, certain specified cure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provisions may be available to us. Except with respect to violations of the gross income tests and asset tests (for which the cure provisions are described above), and provided the violation is due to reasonable cause and not due to willful neglect, these cure provisions generally impose a $50,000 penalty for each violation in lieu of a loss of REIT status. If we fail to satisfy the requirements for taxation as a REIT in any taxable year, and the relief provisions do not apply, we will be required to pay regular U.S. federal corporate income tax, including any applicable alternative minimum tax, on our taxable income. Distributions to stockholders in any year in which we fail to qualify as a REIT will not be deductible by us. As a result, we anticipate that our failure to qualify as a REIT would reduce the cash available for distribution by us to our stockholders. In addition, if we fail to qualify as a REIT, we will not be required to distribute any amounts to our stockholders and all distributions to stockholders will be taxable as regular corporate dividends to the extent of our current and accumulated earnings and profits. In such event, corporate stockholders may be eligible for the dividends-received deduction. In addition, non-corporate stockholders, including individuals, may be eligible for the preferential tax rates on qualified dividend income. Non-corporate stockholders,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 If we fail to qualify as a REIT, such stockholders may not claim this deduction with respect to dividends paid by us. Unless entitled to relief under specific statutory provisions, we would also be ineligible to elect to be treated as a REIT for the four taxable years following the year for which we lose our qualification. It is not possible to state whether in all circumstances we would be entitled to this statutory relief.</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 Aspects of Our Operating Partnership and its Subsidiary Partnerships and Limited Liability Companies</w:t>
      </w:r>
    </w:p>
    <w:p>
      <w:pPr>
        <w:spacing w:after="0" w:line="93"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General</w:t>
      </w:r>
      <w:r>
        <w:rPr>
          <w:rFonts w:ascii="Times New Roman" w:cs="Times New Roman" w:eastAsia="Times New Roman" w:hAnsi="Times New Roman"/>
          <w:sz w:val="14"/>
          <w:szCs w:val="14"/>
          <w:color w:val="auto"/>
        </w:rPr>
        <w:t>. All of our investments are held indirectly through our operating partnership. In addition, our operating partnership holds certain of its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investments indirectly through subsidiary partnerships and limited liability companies that we believe are and will continue to be treated as partnerships or disregarded entities for U.S. federal income tax purposes. In general, entities that are treated as partnerships or disregarded entities for U.S. federal income tax purposes are “pass-through” entities which are not required to pay U.S. federal income tax. Rather, partners of such partnerships are allocated their shares of the items of income, gain, loss, deduction and credit of the partnership, and are potentially required to pay tax on this income, without regard to whether they receive a distribution from the partnership. We will include in our income our share of these partnership items for purposes of the various gross income tests, the computation of our REIT taxable income, and the REIT distribution requirements. Moreover, for purposes of the asset tests, we will include our pro rata share of assets held by our operating partnership, including its share of the assets of its subsidiary partnerships, based on our capital interests in each such entity. See “—Taxation of Our Company—Ownership of Interests in Partnerships, Limited Liability Companies and Qualified REIT Subsidiaries.” A disregarded entity is not treated as a separate</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65</w:t>
      </w:r>
    </w:p>
    <w:p>
      <w:pPr>
        <w:sectPr>
          <w:pgSz w:w="11900" w:h="16838" w:orient="portrait"/>
          <w:cols w:equalWidth="0" w:num="1">
            <w:col w:w="10159"/>
          </w:cols>
          <w:pgMar w:left="300" w:top="388"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479"/>
        <w:spacing w:after="0" w:line="269" w:lineRule="auto"/>
        <w:rPr>
          <w:sz w:val="20"/>
          <w:szCs w:val="20"/>
          <w:color w:val="auto"/>
        </w:rPr>
      </w:pPr>
      <w:r>
        <w:rPr>
          <w:rFonts w:ascii="Times New Roman" w:cs="Times New Roman" w:eastAsia="Times New Roman" w:hAnsi="Times New Roman"/>
          <w:sz w:val="14"/>
          <w:szCs w:val="14"/>
          <w:color w:val="auto"/>
        </w:rPr>
        <w:t>entity for U.S. federal income tax purposes, and all assets, liabilities and items of income, gain, loss, deduction and credit of a disregarded entity are treated as assets, liabilities and items of income, gain, loss, deduction and credit of its parent that is not a disregarded entity (e.g., our operating partnership) for all purposes under the Code, including all REIT qualification tests.</w:t>
      </w:r>
    </w:p>
    <w:p>
      <w:pPr>
        <w:spacing w:after="0" w:line="135" w:lineRule="exact"/>
        <w:rPr>
          <w:sz w:val="20"/>
          <w:szCs w:val="20"/>
          <w:color w:val="auto"/>
        </w:rPr>
      </w:pPr>
    </w:p>
    <w:p>
      <w:pPr>
        <w:ind w:left="1320" w:right="23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Entity Classification</w:t>
      </w:r>
      <w:r>
        <w:rPr>
          <w:rFonts w:ascii="Times New Roman" w:cs="Times New Roman" w:eastAsia="Times New Roman" w:hAnsi="Times New Roman"/>
          <w:sz w:val="14"/>
          <w:szCs w:val="14"/>
          <w:color w:val="auto"/>
        </w:rPr>
        <w:t>. Our interests in our operating partnership and its subsidiary partnerships and limited liability companies involve special tax</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considerations, including the possibility that the IRS might challenge the status of these entities as partnerships or disregarded entities for U.S. federal income tax purposes. For example, an entity that would otherwise be treated as a partnership for U.S. federal income tax purposes may nonetheless be taxable as a corporation if it is a “publicly traded partnership” and certain other requirements are met. A partnership will be treated as a publicly traded partnership if its interests are traded on an established securities market or are readily tradable on a secondary market or a substantial equivalent thereof, within the meaning of applicable Treasury Regulations. We do not anticipate that our operating partnership or any of its subsidiary partnerships will be treated as a publicly traded partnership that is taxable as a corporation. However, if any such entity were treated as a corporation, it would be required to pay an entity-level tax on its income. In this situation, the character of our assets and items of gross income would change and could prevent us from satisfying the REIT asset tests and possibly the REIT income tests. See “—Taxation of Our Company—Asset Tests” and “—Income Tests.” This, in turn, could prevent us from qualifying as a REIT. See “—Taxation of Our Company—Failure to Qualify” for a discussion of the effect of our failure to meet these tests. In addition, a change in the tax status of our operating partnership, or a subsidiary treated as a partnership or disregarded entity, to a corporation might be treated as a taxable event. If so, we might incur a tax liability without any related cash payment. We believe our operating partnership and each of its subsidiary partnerships and limited liability companies are and will continue to be treated as partnerships or disregarded entities for U.S. federal income tax purposes.</w:t>
      </w:r>
    </w:p>
    <w:p>
      <w:pPr>
        <w:spacing w:after="0" w:line="149"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Allocations of Income, Gain, Loss and Deduction</w:t>
      </w:r>
      <w:r>
        <w:rPr>
          <w:rFonts w:ascii="Times New Roman" w:cs="Times New Roman" w:eastAsia="Times New Roman" w:hAnsi="Times New Roman"/>
          <w:sz w:val="14"/>
          <w:szCs w:val="14"/>
          <w:color w:val="auto"/>
        </w:rPr>
        <w:t>. The operating partnership agreement generally provides that items of operating income will be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allocated to us to the extent of the accrued preferred return on our preferred units and then to the holders of common units in proportion to the number of common units held by each such unitholder. Items of operating loss will generally be allocated first to the holders of common units in proportion to the number of common units held, and then to us with respect to our preferred units. Certain limited partners may, from time to time, guarantee debt of our operating partnership, indirectly through an agreement to make capital contributions to our operating partnership under limited circumstances. As a result of these guaranties or contribution agreements, and notwithstanding the foregoing discussion of allocations of income and loss of our operating partnership to holders of units, such limited partners could under limited circumstances be allocated a disproportionate amount of net loss upon a liquidation of our operating partnership, which net loss would have otherwise been allocable to us. In addition, the partnership agreement further provides that holders of long-term incentive units, class C units and class D units may be entitled to receive special allocations of gain in the event of a sale or hypothetical sale of assets of our operating partnership prior to the allocation of gain to holders of common units. This special allocation of gain is intended to enable the holders of long-term incentive units, class C units and class D units to convert such units into common units.</w:t>
      </w:r>
    </w:p>
    <w:p>
      <w:pPr>
        <w:spacing w:after="0" w:line="148"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If an allocation of partnership income or loss does not comply with the requirements of Section 704(b) of the Code and the Treasury Regulations thereunder, the item subject to the allocation will be reallocated in accordance with the partners’ interests in the partnership. This reallocation will be determined by taking into account all of the facts and circumstances relating to the economic arrangement of the partners with respect to such item. The allocations of taxable income and loss of our operating partnership and any subsidiaries that are treated as partnerships for U.S. federal income tax purposes are intended to comply with the requirements of Section 704(b) of the Code and the Treasury Regulations thereunder.</w:t>
      </w:r>
    </w:p>
    <w:p>
      <w:pPr>
        <w:spacing w:after="0" w:line="140" w:lineRule="exact"/>
        <w:rPr>
          <w:sz w:val="20"/>
          <w:szCs w:val="20"/>
          <w:color w:val="auto"/>
        </w:rPr>
      </w:pPr>
    </w:p>
    <w:p>
      <w:pPr>
        <w:ind w:left="1320" w:right="23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Tax Allocations With Respect to the Properties</w:t>
      </w:r>
      <w:r>
        <w:rPr>
          <w:rFonts w:ascii="Times New Roman" w:cs="Times New Roman" w:eastAsia="Times New Roman" w:hAnsi="Times New Roman"/>
          <w:sz w:val="14"/>
          <w:szCs w:val="14"/>
          <w:color w:val="auto"/>
        </w:rPr>
        <w:t>. Under Section 704(c) of the Code, items of income, gain, loss and deduction attributable to appreciated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depreciated property that is contributed to a partnership in exchange for an interest in the partnership must be allocated in a manner so that the contributing partner is charged with the</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66</w:t>
      </w:r>
    </w:p>
    <w:p>
      <w:pPr>
        <w:sectPr>
          <w:pgSz w:w="11900" w:h="16838" w:orient="portrait"/>
          <w:cols w:equalWidth="0" w:num="1">
            <w:col w:w="10159"/>
          </w:cols>
          <w:pgMar w:left="300" w:top="388" w:right="1440"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unrealized gain or benefits from the unrealized loss associated with the property at the time of the contribution. The amount of the unrealized gain or unrealized loss generally is equal to the difference between the fair market value or book value and the adjusted tax basis of the contributed property at the time of contribution (this difference is referred to as a book-tax difference), as adjusted from time to time. These allocations are solely for U.S. federal income tax purposes and do not affect the book capital accounts or other economic or legal arrangements among the partners.</w:t>
      </w:r>
    </w:p>
    <w:p>
      <w:pPr>
        <w:spacing w:after="0" w:line="140" w:lineRule="exact"/>
        <w:rPr>
          <w:sz w:val="20"/>
          <w:szCs w:val="20"/>
          <w:color w:val="auto"/>
        </w:rPr>
      </w:pPr>
    </w:p>
    <w:p>
      <w:pPr>
        <w:ind w:left="1320" w:right="239"/>
        <w:spacing w:after="0" w:line="255" w:lineRule="auto"/>
        <w:rPr>
          <w:sz w:val="20"/>
          <w:szCs w:val="20"/>
          <w:color w:val="auto"/>
        </w:rPr>
      </w:pPr>
      <w:r>
        <w:rPr>
          <w:rFonts w:ascii="Times New Roman" w:cs="Times New Roman" w:eastAsia="Times New Roman" w:hAnsi="Times New Roman"/>
          <w:sz w:val="14"/>
          <w:szCs w:val="14"/>
          <w:color w:val="auto"/>
        </w:rPr>
        <w:t>Appreciated property was contributed to our operating partnership in exchange for interests in our operating partnership in connection with the formation transactions. In addition, our operating partnership may, from time to time, acquire interests in property in exchange for interests in our operating partnership. In that case, the tax basis of these property interests generally will carry over to the operating partnership, notwithstanding their different book (i.e., fair market) value. The partnership agreement requires that income and loss allocations with respect to these properties be made in a manner consistent with Section 704(c) of the Code. Treasury Regulations issued under Section 704(c) of the Code provide partnerships with a choice of several methods of accounting for book-tax differences. Depending on the method we choose in connection with any particular contribution, the carryover basis of each of the contributed interests in the properties in the hands of our operating partnership (i) could cause us to be allocated lower amounts of depreciation deductions for tax purposes than would be allocated to us if any of the contributed properties were to have a tax basis equal to its respective fair market value at the time of the contribution and (ii) could cause us to be allocated taxable gain in the event of a sale of such contributed interests or properties in excess of the economic or book income allocated to us as a result of such sale, with a corresponding benefit to the other partners in our operating partnership. An allocation described in clause (ii) above might cause us or the other partners to recognize taxable income in excess of cash proceeds in the event of a sale or other disposition of property, which might adversely affect our ability to comply with the REIT distribution requirements. See “—Taxation of Our Company—Requirements for Qualification as a REIT” and “—Annual Distribution Requirements.”</w:t>
      </w:r>
    </w:p>
    <w:p>
      <w:pPr>
        <w:spacing w:after="0" w:line="151" w:lineRule="exact"/>
        <w:rPr>
          <w:sz w:val="20"/>
          <w:szCs w:val="20"/>
          <w:color w:val="auto"/>
        </w:rPr>
      </w:pPr>
    </w:p>
    <w:p>
      <w:pPr>
        <w:ind w:left="1320" w:right="999"/>
        <w:spacing w:after="0" w:line="286" w:lineRule="auto"/>
        <w:rPr>
          <w:sz w:val="20"/>
          <w:szCs w:val="20"/>
          <w:color w:val="auto"/>
        </w:rPr>
      </w:pPr>
      <w:r>
        <w:rPr>
          <w:rFonts w:ascii="Times New Roman" w:cs="Times New Roman" w:eastAsia="Times New Roman" w:hAnsi="Times New Roman"/>
          <w:sz w:val="14"/>
          <w:szCs w:val="14"/>
          <w:color w:val="auto"/>
        </w:rPr>
        <w:t>Any property acquired by our operating partnership in a taxable transaction will initially have a tax basis equal to its fair market value, and Section 704(c) of the Code generally will not apply.</w:t>
      </w:r>
    </w:p>
    <w:p>
      <w:pPr>
        <w:spacing w:after="0" w:line="123" w:lineRule="exact"/>
        <w:rPr>
          <w:sz w:val="20"/>
          <w:szCs w:val="20"/>
          <w:color w:val="auto"/>
        </w:rPr>
      </w:pPr>
    </w:p>
    <w:p>
      <w:pPr>
        <w:ind w:left="1320" w:right="3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Partnership Audit Rules</w:t>
      </w:r>
      <w:r>
        <w:rPr>
          <w:rFonts w:ascii="Times New Roman" w:cs="Times New Roman" w:eastAsia="Times New Roman" w:hAnsi="Times New Roman"/>
          <w:sz w:val="14"/>
          <w:szCs w:val="14"/>
          <w:color w:val="auto"/>
        </w:rPr>
        <w:t>. Under current tax law, subject to certain exceptions, any audit adjustment to items of income, gain, loss, deduction, or credit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 partnership (and any partner’s distributive share thereof) is determined, and taxes, interest, or penalties attributable thereto are assessed and collected, at the partnership level. It is possible that these rules could result in partnerships in which we directly or indirectly invest, including our operating partnership, being required to pay additional taxes, interest and penalties as a result of an audit adjustment, and we, as a direct or indirect partner of these partnerships, could be required to bear the economic burden of those taxes, interest, and penalties even though we, as a REIT, may not otherwise have been required to pay additional corporate-level taxes as a result of the related audit adjustment. Investors are urged to consult their tax advisors with respect to these rules and their potential impact on their investment in our capital stock.</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to Holders of Our Capital Stock and the Operating Partnership’s Debt Securities</w:t>
      </w:r>
    </w:p>
    <w:p>
      <w:pPr>
        <w:spacing w:after="0" w:line="9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The following discussion is a summary of certain material U.S. federal income tax consequences to you of purchasing, owning and disposing of our capital stock or the operating partnership’s debt securities. This discussion is limited to holders who hold shares of our capital stock or the operating partnership’s debt securities as “capital assets” within the meaning of Section 1221 of the Code (generally, property held for investment). This discussion does not address all U.S. federal income tax consequences relevant to a holder’s particular circumstances, including the alternative minimum tax. In addition, except where specifically noted, it does not address consequences relevant to holders subject to special rules, including, without limitation:</w:t>
      </w:r>
    </w:p>
    <w:p>
      <w:pPr>
        <w:spacing w:after="0" w:line="71" w:lineRule="exact"/>
        <w:rPr>
          <w:sz w:val="20"/>
          <w:szCs w:val="20"/>
          <w:color w:val="auto"/>
        </w:rPr>
      </w:pPr>
    </w:p>
    <w:p>
      <w:pPr>
        <w:ind w:left="2080" w:hanging="337"/>
        <w:spacing w:after="0"/>
        <w:tabs>
          <w:tab w:leader="none" w:pos="20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insurance companies, and other financial institutions;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or governmental organizations;</w:t>
      </w:r>
    </w:p>
    <w:p>
      <w:pPr>
        <w:spacing w:after="0" w:line="1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67</w:t>
      </w:r>
    </w:p>
    <w:p>
      <w:pPr>
        <w:sectPr>
          <w:pgSz w:w="11900" w:h="16838" w:orient="portrait"/>
          <w:cols w:equalWidth="0" w:num="1">
            <w:col w:w="10159"/>
          </w:cols>
          <w:pgMar w:left="300" w:top="388"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2080" w:right="379" w:hanging="337"/>
        <w:spacing w:after="0" w:line="286" w:lineRule="auto"/>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 corporations, partnerships or other entities or arrangements treated as partnerships for U.S. federal income tax purposes (and investors therein);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hold or receive our capital stock pursuant to the exercise of any employee stock option or otherwise as compensation;</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REITs or regulated investment companies;</w:t>
      </w:r>
    </w:p>
    <w:p>
      <w:pPr>
        <w:spacing w:after="0" w:line="104" w:lineRule="exact"/>
        <w:rPr>
          <w:rFonts w:ascii="Times New Roman" w:cs="Times New Roman" w:eastAsia="Times New Roman" w:hAnsi="Times New Roman"/>
          <w:sz w:val="14"/>
          <w:szCs w:val="14"/>
          <w:color w:val="auto"/>
        </w:rPr>
      </w:pPr>
    </w:p>
    <w:p>
      <w:pPr>
        <w:ind w:left="2080" w:right="439" w:hanging="337"/>
        <w:spacing w:after="0" w:line="286" w:lineRule="auto"/>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 “foreign controlled foreign corporations,” “passive foreign investment companies,” and corporations that accumulate earnings to avoid U.S. federal income tax;</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brokers, dealers or traders in securities;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expatriates and former citizens or long-term residents of the United States;</w:t>
      </w:r>
    </w:p>
    <w:p>
      <w:pPr>
        <w:spacing w:after="0" w:line="104" w:lineRule="exact"/>
        <w:rPr>
          <w:rFonts w:ascii="Times New Roman" w:cs="Times New Roman" w:eastAsia="Times New Roman" w:hAnsi="Times New Roman"/>
          <w:sz w:val="14"/>
          <w:szCs w:val="14"/>
          <w:color w:val="auto"/>
        </w:rPr>
      </w:pPr>
    </w:p>
    <w:p>
      <w:pPr>
        <w:ind w:left="2080" w:right="339" w:hanging="337"/>
        <w:spacing w:after="0" w:line="286" w:lineRule="auto"/>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capital stock or the operating partnership’s debt securities as part of a hedge, straddle or other risk reduction strategy or as part of a conversion transaction or other integrated investment;</w:t>
      </w:r>
    </w:p>
    <w:p>
      <w:pPr>
        <w:spacing w:after="0" w:line="50" w:lineRule="exact"/>
        <w:rPr>
          <w:rFonts w:ascii="Times New Roman" w:cs="Times New Roman" w:eastAsia="Times New Roman" w:hAnsi="Times New Roman"/>
          <w:sz w:val="14"/>
          <w:szCs w:val="14"/>
          <w:color w:val="auto"/>
        </w:rPr>
      </w:pPr>
    </w:p>
    <w:p>
      <w:pPr>
        <w:ind w:left="2080" w:right="479" w:hanging="337"/>
        <w:spacing w:after="0" w:line="286" w:lineRule="auto"/>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subject to special tax accounting rules as a result of any item of gross income with respect to our capital stock or the operating partnership’s debt securities being taken into account in an “applicable financial statement” (as defined in the Code);</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deemed to sell our capital stock or the operating partnership’s debt securities under the constructive sale provisions of the Code;</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 and</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 holders (as defined below) whose functional currency is not the U.S. dollar.</w:t>
      </w:r>
    </w:p>
    <w:p>
      <w:pPr>
        <w:spacing w:after="0" w:line="261" w:lineRule="exact"/>
        <w:rPr>
          <w:sz w:val="20"/>
          <w:szCs w:val="20"/>
          <w:color w:val="auto"/>
        </w:rPr>
      </w:pPr>
    </w:p>
    <w:p>
      <w:pPr>
        <w:ind w:left="1320" w:right="219"/>
        <w:spacing w:after="0" w:line="260" w:lineRule="auto"/>
        <w:rPr>
          <w:sz w:val="20"/>
          <w:szCs w:val="20"/>
          <w:color w:val="auto"/>
        </w:rPr>
      </w:pPr>
      <w:r>
        <w:rPr>
          <w:rFonts w:ascii="Times New Roman" w:cs="Times New Roman" w:eastAsia="Times New Roman" w:hAnsi="Times New Roman"/>
          <w:sz w:val="14"/>
          <w:szCs w:val="14"/>
          <w:b w:val="1"/>
          <w:bCs w:val="1"/>
          <w:color w:val="auto"/>
        </w:rPr>
        <w:t>THIS DISCUSSION IS FOR INFORMATIONAL PURPOSES ONLY AND IS NOT INTENDED AS TAX ADVICE. INVESTORS SHOULD CONSULT THEIR TAX ADVISORS WITH RESPECT TO THE APPLICATION OF THE U.S. FEDERAL INCOME TAX LAWS TO THEIR PARTICULAR SITUATIONS AS WELL AS ANY TAX CONSEQUENCES OF THE PURCHASE, OWNERSHIP AND DISPOSITION OF OUR CAPITAL STOCK OR THE OPERATING PARTNERSHIP’S DEBT SECURITIES ARISING UNDER OTHER U.S. FEDERAL TAX LAWS (INCLUDING ESTATE AND GIFT TAX LAWS), UNDER THE LAWS OF ANY STATE, LOCAL OR NON-U.S. TAXING JURISDICTION OR UNDER ANY APPLICABLE TAX TREATY.</w:t>
      </w:r>
    </w:p>
    <w:p>
      <w:pPr>
        <w:spacing w:after="0" w:line="5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For purposes of this discussion, a “U.S. holder” is a beneficial owner of shares of our capital stock or the operating partnership’s debt securities that, for</w:t>
      </w:r>
    </w:p>
    <w:p>
      <w:pPr>
        <w:spacing w:after="0" w:line="2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U.S. federal income tax purposes, is or is treated as:</w:t>
      </w:r>
    </w:p>
    <w:p>
      <w:pPr>
        <w:spacing w:after="0" w:line="90" w:lineRule="exact"/>
        <w:rPr>
          <w:sz w:val="20"/>
          <w:szCs w:val="20"/>
          <w:color w:val="auto"/>
        </w:rPr>
      </w:pPr>
    </w:p>
    <w:p>
      <w:pPr>
        <w:ind w:left="2080" w:hanging="337"/>
        <w:spacing w:after="0"/>
        <w:tabs>
          <w:tab w:leader="none" w:pos="20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individual who is a citizen or resident of the United States;</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created or organized under the laws of the United States, any state thereof, or the District of Columbia;</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estate the income of which is subject to U.S. federal income tax regardless of its source; or</w:t>
      </w:r>
    </w:p>
    <w:p>
      <w:pPr>
        <w:spacing w:after="0" w:line="104" w:lineRule="exact"/>
        <w:rPr>
          <w:rFonts w:ascii="Times New Roman" w:cs="Times New Roman" w:eastAsia="Times New Roman" w:hAnsi="Times New Roman"/>
          <w:sz w:val="14"/>
          <w:szCs w:val="14"/>
          <w:color w:val="auto"/>
        </w:rPr>
      </w:pPr>
    </w:p>
    <w:p>
      <w:pPr>
        <w:ind w:left="2080" w:right="439" w:hanging="337"/>
        <w:spacing w:after="0" w:line="269" w:lineRule="auto"/>
        <w:tabs>
          <w:tab w:leader="none" w:pos="20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37" w:lineRule="exact"/>
        <w:rPr>
          <w:sz w:val="20"/>
          <w:szCs w:val="20"/>
          <w:color w:val="auto"/>
        </w:rPr>
      </w:pPr>
    </w:p>
    <w:p>
      <w:pPr>
        <w:ind w:left="1320" w:right="499"/>
        <w:spacing w:after="0" w:line="286" w:lineRule="auto"/>
        <w:rPr>
          <w:sz w:val="20"/>
          <w:szCs w:val="20"/>
          <w:color w:val="auto"/>
        </w:rPr>
      </w:pPr>
      <w:r>
        <w:rPr>
          <w:rFonts w:ascii="Times New Roman" w:cs="Times New Roman" w:eastAsia="Times New Roman" w:hAnsi="Times New Roman"/>
          <w:sz w:val="14"/>
          <w:szCs w:val="14"/>
          <w:color w:val="auto"/>
        </w:rPr>
        <w:t>For purposes of this discussion, a “non-U.S. holder” is any beneficial owner of our capital stock or the operating partnership’s debt securities that is neither a U.S. holder nor an entity treated as a partnership for U.S. federal income tax purposes.</w:t>
      </w:r>
    </w:p>
    <w:p>
      <w:pPr>
        <w:spacing w:after="0" w:line="125" w:lineRule="exact"/>
        <w:rPr>
          <w:sz w:val="20"/>
          <w:szCs w:val="20"/>
          <w:color w:val="auto"/>
        </w:rPr>
      </w:pPr>
    </w:p>
    <w:p>
      <w:pPr>
        <w:ind w:left="1320" w:right="339"/>
        <w:spacing w:after="0" w:line="286" w:lineRule="auto"/>
        <w:rPr>
          <w:sz w:val="20"/>
          <w:szCs w:val="20"/>
          <w:color w:val="auto"/>
        </w:rPr>
      </w:pPr>
      <w:r>
        <w:rPr>
          <w:rFonts w:ascii="Times New Roman" w:cs="Times New Roman" w:eastAsia="Times New Roman" w:hAnsi="Times New Roman"/>
          <w:sz w:val="14"/>
          <w:szCs w:val="14"/>
          <w:color w:val="auto"/>
        </w:rPr>
        <w:t>If an entity treated as a partnership for U.S. federal income tax purposes holds shares of our capital stock or the operating partnership’s debt securities, the tax treatment of a partner in the partnership generally will depend on</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68</w:t>
      </w:r>
    </w:p>
    <w:p>
      <w:pPr>
        <w:sectPr>
          <w:pgSz w:w="11900" w:h="16838" w:orient="portrait"/>
          <w:cols w:equalWidth="0" w:num="1">
            <w:col w:w="10159"/>
          </w:cols>
          <w:pgMar w:left="300" w:top="388" w:right="1440"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9" w:lineRule="auto"/>
        <w:rPr>
          <w:sz w:val="20"/>
          <w:szCs w:val="20"/>
          <w:color w:val="auto"/>
        </w:rPr>
      </w:pPr>
      <w:r>
        <w:rPr>
          <w:rFonts w:ascii="Times New Roman" w:cs="Times New Roman" w:eastAsia="Times New Roman" w:hAnsi="Times New Roman"/>
          <w:sz w:val="14"/>
          <w:szCs w:val="14"/>
          <w:color w:val="auto"/>
        </w:rPr>
        <w:t>the status of the partner, the activities of the partnership and certain determinations made at the partner level. Accordingly, partnerships holding shares of our capital stock or the operating partnership’s debt securities and the partners in such partnerships should consult their tax advisors regarding the U.S. federal income tax consequences to them.</w:t>
      </w:r>
    </w:p>
    <w:p>
      <w:pPr>
        <w:spacing w:after="0" w:line="220"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Taxable U.S. Holders of Our Capital Stock</w:t>
      </w:r>
    </w:p>
    <w:p>
      <w:pPr>
        <w:spacing w:after="0" w:line="93"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Distributions Generally</w:t>
      </w:r>
      <w:r>
        <w:rPr>
          <w:rFonts w:ascii="Times New Roman" w:cs="Times New Roman" w:eastAsia="Times New Roman" w:hAnsi="Times New Roman"/>
          <w:sz w:val="14"/>
          <w:szCs w:val="14"/>
          <w:color w:val="auto"/>
        </w:rPr>
        <w:t>. Distributions out of our current or accumulated earnings and profits will be treated as dividends and, other than with respect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capital gain dividends and certain amounts which have previously been subject to corporate level tax, as discussed below, will be taxable to our taxable U.S. holders as ordinary income when actually or constructively received. See “—Tax Rates” below. As long as we qualify as a REIT, these distributions will not be eligible for the dividends-received deduction in the case of U.S. holders that are corporations or, except to the extent described in “—Tax Rates” below, the preferential rates on qualified dividend income applicable to non-corporate U.S. holders, including individuals. For purposes of determining whether distributions to holders of our capital stock are out of our current or accumulated earnings and profits, our earnings and profits will be allocated first to our outstanding preferred stock and then to our outstanding common stock.</w:t>
      </w:r>
    </w:p>
    <w:p>
      <w:pPr>
        <w:spacing w:after="0" w:line="143" w:lineRule="exact"/>
        <w:rPr>
          <w:sz w:val="20"/>
          <w:szCs w:val="20"/>
          <w:color w:val="auto"/>
        </w:rPr>
      </w:pPr>
    </w:p>
    <w:p>
      <w:pPr>
        <w:ind w:left="1320" w:right="239"/>
        <w:spacing w:after="0" w:line="257" w:lineRule="auto"/>
        <w:rPr>
          <w:sz w:val="20"/>
          <w:szCs w:val="20"/>
          <w:color w:val="auto"/>
        </w:rPr>
      </w:pPr>
      <w:r>
        <w:rPr>
          <w:rFonts w:ascii="Times New Roman" w:cs="Times New Roman" w:eastAsia="Times New Roman" w:hAnsi="Times New Roman"/>
          <w:sz w:val="14"/>
          <w:szCs w:val="14"/>
          <w:color w:val="auto"/>
        </w:rPr>
        <w:t>To the extent that we make distributions on our capital stock in excess of our current and accumulated earnings and profits allocable to such stock, these distributions will be treated first as a tax-free return of capital to a U.S. holder to the extent of the U.S. holder’s adjusted tax basis in such shares of stock. This treatment will reduce the U.S. holder’s adjusted tax basis in such shares of stock by such amount, but not below zero. Distributions in excess of our current and accumulated earnings and profits and in excess of a U.S. holder’s adjusted tax basis in its shares will be taxable as capital gain. Such gain will be taxable as long-term capital gain if the shares have been held for more than one year. Dividends we declare in October, November, or December of any year and which are payable to a holder of record on a specified date in any of these months will be treated as both paid by us and received by the holder on December 31 of that year, provided we actually pay the dividend on or before January 31 of the following year. U.S. holders may not include in their own income tax returns any of our net operating losses or capital losses.</w:t>
      </w:r>
    </w:p>
    <w:p>
      <w:pPr>
        <w:spacing w:after="0" w:line="147" w:lineRule="exact"/>
        <w:rPr>
          <w:sz w:val="20"/>
          <w:szCs w:val="20"/>
          <w:color w:val="auto"/>
        </w:rPr>
      </w:pPr>
    </w:p>
    <w:p>
      <w:pPr>
        <w:ind w:left="1320" w:right="199"/>
        <w:spacing w:after="0" w:line="256" w:lineRule="auto"/>
        <w:rPr>
          <w:sz w:val="20"/>
          <w:szCs w:val="20"/>
          <w:color w:val="auto"/>
        </w:rPr>
      </w:pPr>
      <w:r>
        <w:rPr>
          <w:rFonts w:ascii="Times New Roman" w:cs="Times New Roman" w:eastAsia="Times New Roman" w:hAnsi="Times New Roman"/>
          <w:sz w:val="14"/>
          <w:szCs w:val="14"/>
          <w:color w:val="auto"/>
        </w:rPr>
        <w:t>U.S. holders that receive taxable stock distributions, including distributions partially payable in our capital stock and partially payable in cash, would be required to include the full amount of the distribution (i.e., the cash and the stock portion) as a dividend (subject to limited exceptions) to the extent of our current and accumulated earnings and profits for U.S. federal income tax purposes, as described above. The amount of any distribution payable in our capital stock generally is equal to the amount of cash that could have been received instead of the capital stock. Depending on the circumstances of a U.S. holder, the tax on the distribution may exceed the amount of the distribution received in cash, in which case such U.S. holder would have to pay the tax using cash from other sources. If a U.S. holder sells the capital stock it received in connection with a taxable stock distribution in order to pay this tax and the proceeds of such sale are less than the amount required to be included in income with respect to the stock portion of the distribution, such U.S. holder could have a capital loss with respect to the stock sale that could not be used to offset such income. A U.S. holder that receives capital stock pursuant to such distribution generally has a tax basis in such capital stock equal to the amount of cash that could have been received instead of such capital stock as described above, and has a holding period in such capital stock that begins on the day immediately following the payment date for the distribution.</w:t>
      </w:r>
    </w:p>
    <w:p>
      <w:pPr>
        <w:spacing w:after="0" w:line="316" w:lineRule="exact"/>
        <w:rPr>
          <w:sz w:val="20"/>
          <w:szCs w:val="20"/>
          <w:color w:val="auto"/>
        </w:rPr>
      </w:pPr>
    </w:p>
    <w:p>
      <w:pPr>
        <w:ind w:left="1320" w:right="29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Capital Gain Dividends</w:t>
      </w:r>
      <w:r>
        <w:rPr>
          <w:rFonts w:ascii="Times New Roman" w:cs="Times New Roman" w:eastAsia="Times New Roman" w:hAnsi="Times New Roman"/>
          <w:sz w:val="14"/>
          <w:szCs w:val="14"/>
          <w:color w:val="auto"/>
        </w:rPr>
        <w:t>. Dividends that we properly designate as capital gain dividends will generally be taxable to our taxable U.S. holders as a gain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from the sale or disposition of a capital asset held for more than one year, to the extent that such gain does not exceed our actual net capital gain for the taxable year, and may not exceed our dividends paid for the taxable year, including dividends paid the following year that are treated as paid in the current year. U.S. holders that are corporations may, however, be required to treat up to 20% of certain capital gain dividends as ordinary income. If we properly designate any portion of a dividend as a capital gain dividend, then, except as otherwise required by law, we presently intend to allocate a portion of the total capital gain</w:t>
      </w:r>
    </w:p>
    <w:p>
      <w:pPr>
        <w:spacing w:after="0" w:line="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69</w:t>
      </w:r>
    </w:p>
    <w:p>
      <w:pPr>
        <w:sectPr>
          <w:pgSz w:w="11900" w:h="16838" w:orient="portrait"/>
          <w:cols w:equalWidth="0" w:num="1">
            <w:col w:w="10159"/>
          </w:cols>
          <w:pgMar w:left="300" w:top="388" w:right="1440"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dividends paid or made available to holders of all classes of our capital stock for the year to the holders of each class of our capital stock in proportion to the amount that our total dividends, as determined for U.S. federal income tax purposes, paid or made available to the holders of each such class of our capital stock for the year bears to the total dividends, as determined for U.S. federal income tax purposes, paid or made available to holders of all classes of our capital stock for the year. In addition, except as otherwise required by law, we will make a similar allocation with respect to any undistributed long-term capital gains which are to be included in our stockholders’ long-term capital gains, based on the allocation of the capital gain amount which would have resulted if those undistributed long-term capital gains had been distributed as “capital gain dividends” by us to our stockholders.</w:t>
      </w:r>
    </w:p>
    <w:p>
      <w:pPr>
        <w:spacing w:after="0" w:line="143" w:lineRule="exact"/>
        <w:rPr>
          <w:sz w:val="20"/>
          <w:szCs w:val="20"/>
          <w:color w:val="auto"/>
        </w:rPr>
      </w:pPr>
    </w:p>
    <w:p>
      <w:pPr>
        <w:jc w:val="both"/>
        <w:ind w:left="1320" w:right="37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Retention of Net Capital Gains</w:t>
      </w:r>
      <w:r>
        <w:rPr>
          <w:rFonts w:ascii="Times New Roman" w:cs="Times New Roman" w:eastAsia="Times New Roman" w:hAnsi="Times New Roman"/>
          <w:sz w:val="14"/>
          <w:szCs w:val="14"/>
          <w:color w:val="auto"/>
        </w:rPr>
        <w:t>. We may elect to retain, rather than distribute as a capital gain dividend, all or a portion of our net capital gains. If we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make this election, we would pay tax on our retained net capital gains. In addition, to the extent we so elect, our earnings and profits (determined for U.S. federal income tax purposes) would be adjusted accordingly, and a U.S. holder generally would:</w:t>
      </w:r>
    </w:p>
    <w:p>
      <w:pPr>
        <w:spacing w:after="0" w:line="61" w:lineRule="exact"/>
        <w:rPr>
          <w:sz w:val="20"/>
          <w:szCs w:val="20"/>
          <w:color w:val="auto"/>
        </w:rPr>
      </w:pPr>
    </w:p>
    <w:p>
      <w:pPr>
        <w:ind w:left="2080" w:right="279" w:hanging="337"/>
        <w:spacing w:after="0" w:line="286" w:lineRule="auto"/>
        <w:tabs>
          <w:tab w:leader="none" w:pos="20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 its pro rata share of our undistributed capital gain in computing its long-term capital gains in its U.S. federal income tax return for its taxable year in which the last day of our taxable year falls, subject to certain limitations as to the amount that is includable;</w:t>
      </w:r>
    </w:p>
    <w:p>
      <w:pPr>
        <w:spacing w:after="0" w:line="50" w:lineRule="exact"/>
        <w:rPr>
          <w:rFonts w:ascii="Times New Roman" w:cs="Times New Roman" w:eastAsia="Times New Roman" w:hAnsi="Times New Roman"/>
          <w:sz w:val="14"/>
          <w:szCs w:val="14"/>
          <w:color w:val="auto"/>
        </w:rPr>
      </w:pPr>
    </w:p>
    <w:p>
      <w:pPr>
        <w:ind w:left="2080" w:right="279" w:hanging="337"/>
        <w:spacing w:after="0" w:line="286" w:lineRule="auto"/>
        <w:tabs>
          <w:tab w:leader="none" w:pos="20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deemed to have paid its share of the capital gains tax imposed on us on the designated amounts included in the U.S. holder’s income as long-term capital gain;</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 a credit or refund for the amount of tax deemed paid by it;</w:t>
      </w:r>
    </w:p>
    <w:p>
      <w:pPr>
        <w:spacing w:after="0" w:line="104" w:lineRule="exact"/>
        <w:rPr>
          <w:rFonts w:ascii="Times New Roman" w:cs="Times New Roman" w:eastAsia="Times New Roman" w:hAnsi="Times New Roman"/>
          <w:sz w:val="14"/>
          <w:szCs w:val="14"/>
          <w:color w:val="auto"/>
        </w:rPr>
      </w:pPr>
    </w:p>
    <w:p>
      <w:pPr>
        <w:ind w:left="2080" w:right="459" w:hanging="337"/>
        <w:spacing w:after="0" w:line="286" w:lineRule="auto"/>
        <w:tabs>
          <w:tab w:leader="none" w:pos="20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adjusted tax basis of its capital stock by the difference between the amount of includable gains and the tax deemed to have been paid by it; and</w:t>
      </w:r>
    </w:p>
    <w:p>
      <w:pPr>
        <w:spacing w:after="0" w:line="50" w:lineRule="exact"/>
        <w:rPr>
          <w:rFonts w:ascii="Times New Roman" w:cs="Times New Roman" w:eastAsia="Times New Roman" w:hAnsi="Times New Roman"/>
          <w:sz w:val="14"/>
          <w:szCs w:val="14"/>
          <w:color w:val="auto"/>
        </w:rPr>
      </w:pPr>
    </w:p>
    <w:p>
      <w:pPr>
        <w:ind w:left="2080" w:right="399" w:hanging="337"/>
        <w:spacing w:after="0" w:line="286" w:lineRule="auto"/>
        <w:tabs>
          <w:tab w:leader="none" w:pos="20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a U.S. holder that is a corporation, appropriately adjust its earnings and profits for the retained capital gains in accordance with Treasury Regulations to be promulgated by the IRS.</w:t>
      </w:r>
    </w:p>
    <w:p>
      <w:pPr>
        <w:spacing w:after="0" w:line="123" w:lineRule="exact"/>
        <w:rPr>
          <w:sz w:val="20"/>
          <w:szCs w:val="20"/>
          <w:color w:val="auto"/>
        </w:rPr>
      </w:pPr>
    </w:p>
    <w:p>
      <w:pPr>
        <w:ind w:left="1320" w:right="21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Passive Activity Losses and Investment Interest Limitations</w:t>
      </w:r>
      <w:r>
        <w:rPr>
          <w:rFonts w:ascii="Times New Roman" w:cs="Times New Roman" w:eastAsia="Times New Roman" w:hAnsi="Times New Roman"/>
          <w:sz w:val="14"/>
          <w:szCs w:val="14"/>
          <w:color w:val="auto"/>
        </w:rPr>
        <w:t>. Distributions we make and gain arising from the sale or exchange of our capital stock by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U.S. holder will not be treated as passive activity income. As a result, U.S. holders generally will not be able to apply any “passive losses” against this income or gain. A U.S. holder generally may elect to treat capital gain dividends, capital gains from the disposition of our capital stock and income designated as qualified dividend income, as described in “—Tax Rates” below, as investment income for purposes of computing the investment interest limitation, but in such case, the holder will be taxed at ordinary income rates on such amount. Other distributions made by us, to the extent they do not constitute a return of capital, generally will be treated as investment income for purposes of computing the investment interest limitation.</w:t>
      </w:r>
    </w:p>
    <w:p>
      <w:pPr>
        <w:spacing w:after="0" w:line="141" w:lineRule="exact"/>
        <w:rPr>
          <w:sz w:val="20"/>
          <w:szCs w:val="20"/>
          <w:color w:val="auto"/>
        </w:rPr>
      </w:pPr>
    </w:p>
    <w:p>
      <w:pPr>
        <w:ind w:left="1320" w:right="21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Dispositions of Our Capital Stock</w:t>
      </w:r>
      <w:r>
        <w:rPr>
          <w:rFonts w:ascii="Times New Roman" w:cs="Times New Roman" w:eastAsia="Times New Roman" w:hAnsi="Times New Roman"/>
          <w:sz w:val="14"/>
          <w:szCs w:val="14"/>
          <w:color w:val="auto"/>
        </w:rPr>
        <w:t>. Except as described below under “—Taxation of Taxable U.S. Holders of Our Capital Stock—Redemption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Repurchase by Us,” if a U.S. holder sells or disposes of shares of our capital stock, it will recognize gain or loss for U.S. federal income tax purposes in an amount equal to the difference between the amount of cash and the fair market value of any property received on the sale or other disposition and the holder’s adjusted tax basis in the shares. This gain or loss, except as provided below, will be long-term capital gain or loss if the holder has held such capital stock for more than one year. However, if a U.S. holder recognizes a loss upon the sale or other disposition of capital stock that it has held for six months or less, after applying certain holding period rules, the loss recognized will be treated as a long-term capital loss to the extent the U.S. holder received distributions from us which were required to be treated as long-term capital gains. The deductibility of capital losses is subject to limitations.</w:t>
      </w:r>
    </w:p>
    <w:p>
      <w:pPr>
        <w:spacing w:after="0" w:line="141" w:lineRule="exact"/>
        <w:rPr>
          <w:sz w:val="20"/>
          <w:szCs w:val="20"/>
          <w:color w:val="auto"/>
        </w:rPr>
      </w:pPr>
    </w:p>
    <w:p>
      <w:pPr>
        <w:ind w:left="1320" w:right="55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Redemption or Repurchase by Us</w:t>
      </w:r>
      <w:r>
        <w:rPr>
          <w:rFonts w:ascii="Times New Roman" w:cs="Times New Roman" w:eastAsia="Times New Roman" w:hAnsi="Times New Roman"/>
          <w:sz w:val="14"/>
          <w:szCs w:val="14"/>
          <w:color w:val="auto"/>
        </w:rPr>
        <w:t>. A redemption or repurchase of shares of our capital stock will be treated under Section 302 of the Code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(and taxable as a dividend to the extent of our current and accumulated earnings and profits as described above under “—Distributions Generally”) unless the redemption</w:t>
      </w:r>
    </w:p>
    <w:p>
      <w:pPr>
        <w:spacing w:after="0" w:line="8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70</w:t>
      </w:r>
    </w:p>
    <w:p>
      <w:pPr>
        <w:sectPr>
          <w:pgSz w:w="11900" w:h="16838" w:orient="portrait"/>
          <w:cols w:equalWidth="0" w:num="1">
            <w:col w:w="10159"/>
          </w:cols>
          <w:pgMar w:left="300" w:top="388" w:right="1440"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819"/>
        <w:spacing w:after="0" w:line="286" w:lineRule="auto"/>
        <w:rPr>
          <w:sz w:val="20"/>
          <w:szCs w:val="20"/>
          <w:color w:val="auto"/>
        </w:rPr>
      </w:pPr>
      <w:r>
        <w:rPr>
          <w:rFonts w:ascii="Times New Roman" w:cs="Times New Roman" w:eastAsia="Times New Roman" w:hAnsi="Times New Roman"/>
          <w:sz w:val="14"/>
          <w:szCs w:val="14"/>
          <w:color w:val="auto"/>
        </w:rPr>
        <w:t>or repurchase satisfies one of the tests set forth in Section 302(b) of the Code and is therefore treated as a sale or exchange of the redeemed or repurchased shares. The redemption or repurchase generally will be treated as a sale or exchange if it:</w:t>
      </w:r>
    </w:p>
    <w:p>
      <w:pPr>
        <w:spacing w:after="0" w:line="51" w:lineRule="exact"/>
        <w:rPr>
          <w:sz w:val="20"/>
          <w:szCs w:val="20"/>
          <w:color w:val="auto"/>
        </w:rPr>
      </w:pPr>
    </w:p>
    <w:p>
      <w:pPr>
        <w:ind w:left="2080" w:hanging="337"/>
        <w:spacing w:after="0"/>
        <w:tabs>
          <w:tab w:leader="none" w:pos="2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“substantially disproportionate” with respect to the U.S. holder;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in a “complete redemption” of the U.S. holder’s stock interest in us; or</w:t>
      </w:r>
    </w:p>
    <w:p>
      <w:pPr>
        <w:spacing w:after="0" w:line="104"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 “not essentially equivalent to a dividend” with respect to the U.S. holder,</w:t>
      </w:r>
    </w:p>
    <w:p>
      <w:pPr>
        <w:spacing w:after="0" w:line="17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all within the meaning of Section 302(b) of the Code.</w:t>
      </w:r>
    </w:p>
    <w:p>
      <w:pPr>
        <w:spacing w:after="0" w:line="178"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In determining whether any of these tests has been met, shares of our capital stock, including common stock and other equity interests in us, considered to be owned by the U.S. holder by reason of certain constructive ownership rules set forth in the Code, as well as shares of our capital stock actually owned by the U.S. holder, generally must be taken into account. Because the determination as to whether any of the alternative tests of Section 302(b) of the Code will be satisfied with respect to the U.S. holder depends upon the facts and circumstances at the time that the determination must be made, U.S. holders are advised to consult their tax advisors to determine such tax treatment.</w:t>
      </w:r>
    </w:p>
    <w:p>
      <w:pPr>
        <w:spacing w:after="0" w:line="142"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If a redemption or repurchase of shares of our capital stock is treated as a distribution, the amount of the distribution will be measured by the amount of cash and the fair market value of any property received. See “—Distributions Generally.” A U.S. holder’s adjusted tax basis in the redeemed or repurchased shares generally will be transferred to the holder’s remaining shares of our capital stock, if any. If a U.S. holder owns no other shares of our capital stock, under certain circumstances, such basis may be transferred to a related person or it may be lost entirely. Prospective investors should consult their tax advisors regarding the U.S. federal income tax consequences of a redemption or repurchase of our capital stock.</w:t>
      </w:r>
    </w:p>
    <w:p>
      <w:pPr>
        <w:spacing w:after="0" w:line="142" w:lineRule="exact"/>
        <w:rPr>
          <w:sz w:val="20"/>
          <w:szCs w:val="20"/>
          <w:color w:val="auto"/>
        </w:rPr>
      </w:pPr>
    </w:p>
    <w:p>
      <w:pPr>
        <w:ind w:left="1320" w:right="319"/>
        <w:spacing w:after="0" w:line="286" w:lineRule="auto"/>
        <w:rPr>
          <w:sz w:val="20"/>
          <w:szCs w:val="20"/>
          <w:color w:val="auto"/>
        </w:rPr>
      </w:pPr>
      <w:r>
        <w:rPr>
          <w:rFonts w:ascii="Times New Roman" w:cs="Times New Roman" w:eastAsia="Times New Roman" w:hAnsi="Times New Roman"/>
          <w:sz w:val="14"/>
          <w:szCs w:val="14"/>
          <w:color w:val="auto"/>
        </w:rPr>
        <w:t>If a redemption or repurchase of shares of our capital stock is not treated as a distribution, it will be treated as a taxable sale or exchange in the manner described under “—Dispositions of Our Capital Stock.”</w:t>
      </w:r>
    </w:p>
    <w:p>
      <w:pPr>
        <w:spacing w:after="0" w:line="123"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Tax Rates</w:t>
      </w:r>
      <w:r>
        <w:rPr>
          <w:rFonts w:ascii="Times New Roman" w:cs="Times New Roman" w:eastAsia="Times New Roman" w:hAnsi="Times New Roman"/>
          <w:sz w:val="14"/>
          <w:szCs w:val="14"/>
          <w:color w:val="auto"/>
        </w:rPr>
        <w:t>. The maximum tax rate for non-corporate taxpayers for (1) long-term capital gains, including certain “capital gain dividends,” generally is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20% (although depending on the characteristics of the assets which produced these gains and on designations which we may make, certain capital gain dividends may be taxed at a 25% rate) and (2) “qualified dividend income” generally is 20%. In general, dividends payable by REITs are not eligible for the reduced tax rate on qualified dividend income, except to the extent that certain holding period requirements have been met and the REIT’s dividends are attributable to dividends received from taxable corporations (such as its taxable REIT subsidiaries) or to income that was subject to tax at the corporate/REIT level (for example, if the REIT distributed taxable income that it retained and paid tax on in the prior taxable year). Capital gain dividends will only be eligible for the rates described above to the extent that they are properly designated by the REIT as “capital gain dividends.” U.S. holders that are corporations may be required to treat up to 20% of some capital gain dividends as ordinary income. In addition, non-corporate U.S. holders, including individuals, generally may deduct up to 20% of dividends from a REIT, other than capital gain dividends and dividends treated as qualified dividend income, for purposes of determining their U.S. federal income tax (but not for purposes of the 3.8% Medicare tax), subject to certain holding period requirements and other limitations.</w:t>
      </w:r>
    </w:p>
    <w:p>
      <w:pPr>
        <w:spacing w:after="0" w:line="23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Tax-Exempt Holders of Our Capital Stock</w:t>
      </w:r>
    </w:p>
    <w:p>
      <w:pPr>
        <w:spacing w:after="0" w:line="95" w:lineRule="exact"/>
        <w:rPr>
          <w:sz w:val="20"/>
          <w:szCs w:val="20"/>
          <w:color w:val="auto"/>
        </w:rPr>
      </w:pPr>
    </w:p>
    <w:p>
      <w:pPr>
        <w:ind w:left="1320" w:right="199"/>
        <w:spacing w:after="0" w:line="264" w:lineRule="auto"/>
        <w:rPr>
          <w:sz w:val="20"/>
          <w:szCs w:val="20"/>
          <w:color w:val="auto"/>
        </w:rPr>
      </w:pPr>
      <w:r>
        <w:rPr>
          <w:rFonts w:ascii="Times New Roman" w:cs="Times New Roman" w:eastAsia="Times New Roman" w:hAnsi="Times New Roman"/>
          <w:sz w:val="14"/>
          <w:szCs w:val="14"/>
          <w:color w:val="auto"/>
        </w:rPr>
        <w:t>Dividend income from us and gain arising upon a sale of shares of our capital stock generally should not be unrelated business taxable income, or UBTI, to a tax-exempt holder, except as described below. This income or gain will be UBTI, however, to the extent a tax-exempt holder holds its shares as “debt-financed property” within the meaning of the Code. Generally, “debt-financed property” is property the acquisition or holding of which was financed through a borrowing by the tax-exempt holder.</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71</w:t>
      </w:r>
    </w:p>
    <w:p>
      <w:pPr>
        <w:sectPr>
          <w:pgSz w:w="11900" w:h="16838" w:orient="portrait"/>
          <w:cols w:equalWidth="0" w:num="1">
            <w:col w:w="10159"/>
          </w:cols>
          <w:pgMar w:left="300" w:top="388" w:right="1440"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59"/>
        <w:spacing w:after="0" w:line="261" w:lineRule="auto"/>
        <w:rPr>
          <w:sz w:val="20"/>
          <w:szCs w:val="20"/>
          <w:color w:val="auto"/>
        </w:rPr>
      </w:pPr>
      <w:r>
        <w:rPr>
          <w:rFonts w:ascii="Times New Roman" w:cs="Times New Roman" w:eastAsia="Times New Roman" w:hAnsi="Times New Roman"/>
          <w:sz w:val="14"/>
          <w:szCs w:val="14"/>
          <w:color w:val="auto"/>
        </w:rPr>
        <w:t>For tax-exempt holders that are social clubs, voluntary employee benefit associations or supplemental unemployment benefit trusts exempt from U.S. federal income taxation under Sections 501(c)(7), (c)(9) or (c)(17) of the Code, respectively, income from an investment in our shares will constitute UBTI unless the organization is able to properly claim a deduction for amounts set aside or placed in reserve for specific purposes so as to offset the income generated by its investment in our shares. These prospective investors should consult their tax advisors concerning these “set aside” and reserve requirements.</w:t>
      </w:r>
    </w:p>
    <w:p>
      <w:pPr>
        <w:spacing w:after="0" w:line="142" w:lineRule="exact"/>
        <w:rPr>
          <w:sz w:val="20"/>
          <w:szCs w:val="20"/>
          <w:color w:val="auto"/>
        </w:rPr>
      </w:pPr>
    </w:p>
    <w:p>
      <w:pPr>
        <w:ind w:left="1320" w:right="319"/>
        <w:spacing w:after="0" w:line="259" w:lineRule="auto"/>
        <w:rPr>
          <w:sz w:val="20"/>
          <w:szCs w:val="20"/>
          <w:color w:val="auto"/>
        </w:rPr>
      </w:pPr>
      <w:r>
        <w:rPr>
          <w:rFonts w:ascii="Times New Roman" w:cs="Times New Roman" w:eastAsia="Times New Roman" w:hAnsi="Times New Roman"/>
          <w:sz w:val="14"/>
          <w:szCs w:val="14"/>
          <w:color w:val="auto"/>
        </w:rPr>
        <w:t>Notwithstanding the above, however, a portion of the dividends paid by a “pension-held REIT” may be treated as UBTI as to certain trusts that hold more than 10%, by value, of the interests in the REIT. A REIT will not be a “pension-held REIT” if it is able to satisfy the “not closely held” requirement without relying on the “look-through” exception with respect to certain trusts or if such REIT is not “predominantly held” by “qualified trusts.” As a result of restrictions on ownership and transfer of our stock contained in our charter, we do not expect to be classified as a “pension-held REIT,” and as a result, the tax treatment described above should be inapplicable to our holders. However, because our stock is (and, we anticipate, will continue to be) publicly traded, we cannot guarantee that this will always be the case.</w:t>
      </w:r>
    </w:p>
    <w:p>
      <w:pPr>
        <w:spacing w:after="0" w:line="22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Non-U.S. Holders of Our Capital Stock</w:t>
      </w:r>
    </w:p>
    <w:p>
      <w:pPr>
        <w:spacing w:after="0" w:line="95" w:lineRule="exact"/>
        <w:rPr>
          <w:sz w:val="20"/>
          <w:szCs w:val="20"/>
          <w:color w:val="auto"/>
        </w:rPr>
      </w:pPr>
    </w:p>
    <w:p>
      <w:pPr>
        <w:ind w:left="1320" w:right="259"/>
        <w:spacing w:after="0" w:line="259" w:lineRule="auto"/>
        <w:rPr>
          <w:sz w:val="20"/>
          <w:szCs w:val="20"/>
          <w:color w:val="auto"/>
        </w:rPr>
      </w:pPr>
      <w:r>
        <w:rPr>
          <w:rFonts w:ascii="Times New Roman" w:cs="Times New Roman" w:eastAsia="Times New Roman" w:hAnsi="Times New Roman"/>
          <w:sz w:val="14"/>
          <w:szCs w:val="14"/>
          <w:color w:val="auto"/>
        </w:rPr>
        <w:t>The following discussion addresses the rules governing U.S. federal income taxation of the purchase, ownership and disposition of our capital stock by non-U.S. holders. These rules are complex, and no attempt is made herein to provide more than a brief summary of such rules. Accordingly, the discussion does not address all aspects of U.S. federal income taxation and does not address other federal, state, local or non-U.S. tax consequences that may be relevant to a non-U.S. holder in light of its particular circumstances. We urge non-U.S. holders to consult their tax advisors to determine the impact of U.S. federal, state, local and non-U.S. income and other tax laws and any applicable tax treaty on the purchase, ownership and disposition of shares of our capital stock, including any reporting requirements.</w:t>
      </w:r>
    </w:p>
    <w:p>
      <w:pPr>
        <w:spacing w:after="0" w:line="143" w:lineRule="exact"/>
        <w:rPr>
          <w:sz w:val="20"/>
          <w:szCs w:val="20"/>
          <w:color w:val="auto"/>
        </w:rPr>
      </w:pPr>
    </w:p>
    <w:p>
      <w:pPr>
        <w:ind w:left="1320" w:right="21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Distributions Generally</w:t>
      </w:r>
      <w:r>
        <w:rPr>
          <w:rFonts w:ascii="Times New Roman" w:cs="Times New Roman" w:eastAsia="Times New Roman" w:hAnsi="Times New Roman"/>
          <w:sz w:val="14"/>
          <w:szCs w:val="14"/>
          <w:color w:val="auto"/>
        </w:rPr>
        <w:t>. Distributions (including any taxable stock distributions) that are neither attributable to gains from sales or exchanges by us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United States real property interests, or USRPIs, nor designated by us as capital gain dividends (except as described below) will be treated as dividends of ordinary income to the extent that they are made out of our current or accumulated earnings and profits. Such distributions ordinarily will be subject to withholding of U.S. federal income tax at a 30% rate or such lower rate as may be specified by an applicable income tax treaty, unless the distributions are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Under certain treaties, however, lower withholding rates generally applicable to dividends do not apply to dividends from a REIT. Certain certification and disclosure requirements must be satisfied for a non-U.S. holder to be exempt from withholding under the effectively connected income exemption. Dividends that are treated as effectively connected with a U.S. trade or business generally will not be subject to withholding but will be subject to U.S. federal income tax on a net basis at the regular rates, in the same manner as dividends paid to U.S. holders are subject to U.S. federal income tax. Any such dividends received by a non-U.S. holder that is a corporation may also be subject to an additional branch profits tax at a 30% rate (applicable after deducting U.S. federal income taxes paid on such effectively connected income) or such lower rate as may be specified by an applicable income tax treaty.</w:t>
      </w:r>
    </w:p>
    <w:p>
      <w:pPr>
        <w:spacing w:after="0" w:line="153" w:lineRule="exact"/>
        <w:rPr>
          <w:sz w:val="20"/>
          <w:szCs w:val="20"/>
          <w:color w:val="auto"/>
        </w:rPr>
      </w:pPr>
    </w:p>
    <w:p>
      <w:pPr>
        <w:ind w:left="1320" w:right="379"/>
        <w:spacing w:after="0" w:line="286" w:lineRule="auto"/>
        <w:rPr>
          <w:sz w:val="20"/>
          <w:szCs w:val="20"/>
          <w:color w:val="auto"/>
        </w:rPr>
      </w:pPr>
      <w:r>
        <w:rPr>
          <w:rFonts w:ascii="Times New Roman" w:cs="Times New Roman" w:eastAsia="Times New Roman" w:hAnsi="Times New Roman"/>
          <w:sz w:val="14"/>
          <w:szCs w:val="14"/>
          <w:color w:val="auto"/>
        </w:rPr>
        <w:t>Except as otherwise provided below, we expect to withhold U.S. federal income tax at the rate of 30% on any distributions made to a non-U.S. holder unless:</w:t>
      </w:r>
    </w:p>
    <w:p>
      <w:pPr>
        <w:spacing w:after="0" w:line="51" w:lineRule="exact"/>
        <w:rPr>
          <w:sz w:val="20"/>
          <w:szCs w:val="20"/>
          <w:color w:val="auto"/>
        </w:rPr>
      </w:pPr>
    </w:p>
    <w:p>
      <w:pPr>
        <w:ind w:left="2080" w:right="439" w:hanging="422"/>
        <w:spacing w:after="0" w:line="286" w:lineRule="auto"/>
        <w:tabs>
          <w:tab w:leader="none" w:pos="2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lower treaty rate applies and the non-U.S. holder furnishes an IRS Form W-8BEN or W-8BEN-E (or other applicable documentation) evidencing eligibility for that reduced treaty rate; or</w:t>
      </w:r>
    </w:p>
    <w:p>
      <w:pPr>
        <w:spacing w:after="0" w:line="50" w:lineRule="exact"/>
        <w:rPr>
          <w:rFonts w:ascii="Times New Roman" w:cs="Times New Roman" w:eastAsia="Times New Roman" w:hAnsi="Times New Roman"/>
          <w:sz w:val="14"/>
          <w:szCs w:val="14"/>
          <w:color w:val="auto"/>
        </w:rPr>
      </w:pPr>
    </w:p>
    <w:p>
      <w:pPr>
        <w:ind w:left="2080" w:right="819" w:hanging="422"/>
        <w:spacing w:after="0" w:line="286" w:lineRule="auto"/>
        <w:tabs>
          <w:tab w:leader="none" w:pos="20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furnishes an IRS Form W-8ECI (or other applicable documentation) claiming that the distribution is income effectively connected with the non-U.S. holder’s trade or business.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72</w:t>
      </w:r>
    </w:p>
    <w:p>
      <w:pPr>
        <w:sectPr>
          <w:pgSz w:w="11900" w:h="16838" w:orient="portrait"/>
          <w:cols w:equalWidth="0" w:num="1">
            <w:col w:w="10159"/>
          </w:cols>
          <w:pgMar w:left="300" w:top="388" w:right="1440"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58" w:lineRule="auto"/>
        <w:rPr>
          <w:sz w:val="20"/>
          <w:szCs w:val="20"/>
          <w:color w:val="auto"/>
        </w:rPr>
      </w:pPr>
      <w:r>
        <w:rPr>
          <w:rFonts w:ascii="Times New Roman" w:cs="Times New Roman" w:eastAsia="Times New Roman" w:hAnsi="Times New Roman"/>
          <w:sz w:val="14"/>
          <w:szCs w:val="14"/>
          <w:color w:val="auto"/>
        </w:rPr>
        <w:t>Distributions in excess of our current and accumulated earnings and profits will not be taxable to a non-U.S. holder to the extent that such distributions do not exceed the adjusted tax basis of the holder’s capital stock, but rather will reduce the adjusted tax basis of such stock. To the extent that such distributions exceed the non-U.S. holder’s adjusted tax basis in such capital stock, they generally will give rise to gain from the sale or exchange of such stock, the tax treatment of which is described below. However, such excess distributions may be treated as dividend income for certain non-U.S. holders. For withholding purposes, we expect to treat all distributions as made out of our current or accumulated earnings and profits. However, amounts withheld may be refundable if it is subsequently determined that the distribution was, in fact, in excess of our current and accumulated earnings and profits, provided that certain conditions are met.</w:t>
      </w:r>
    </w:p>
    <w:p>
      <w:pPr>
        <w:spacing w:after="0" w:line="143" w:lineRule="exact"/>
        <w:rPr>
          <w:sz w:val="20"/>
          <w:szCs w:val="20"/>
          <w:color w:val="auto"/>
        </w:rPr>
      </w:pPr>
    </w:p>
    <w:p>
      <w:pPr>
        <w:ind w:left="1320" w:right="29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Capital Gain Dividends and Distributions Attributable to a Sale or Exchange of United States Real Property Interests</w:t>
      </w:r>
      <w:r>
        <w:rPr>
          <w:rFonts w:ascii="Times New Roman" w:cs="Times New Roman" w:eastAsia="Times New Roman" w:hAnsi="Times New Roman"/>
          <w:sz w:val="14"/>
          <w:szCs w:val="14"/>
          <w:color w:val="auto"/>
        </w:rPr>
        <w:t>. Distributions to a non-U.S.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holder that we properly designate as capital gain dividends, other than those arising from the disposition of a USRPI, generally should not be subject to U.S. federal income taxation, unless:</w:t>
      </w:r>
    </w:p>
    <w:p>
      <w:pPr>
        <w:spacing w:after="0" w:line="61" w:lineRule="exact"/>
        <w:rPr>
          <w:sz w:val="20"/>
          <w:szCs w:val="20"/>
          <w:color w:val="auto"/>
        </w:rPr>
      </w:pPr>
    </w:p>
    <w:p>
      <w:pPr>
        <w:ind w:left="2080" w:right="259" w:hanging="422"/>
        <w:spacing w:after="0" w:line="261" w:lineRule="auto"/>
        <w:tabs>
          <w:tab w:leader="none" w:pos="2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dividends are attributable), in which case the non-U.S. holder will be subject to the same treatment as U.S. holders with respect to such gain, except that a non-U.S. holder that is a corporation may also be subject to a branch profits tax of up to 30%, as discussed above; or</w:t>
      </w:r>
    </w:p>
    <w:p>
      <w:pPr>
        <w:spacing w:after="0" w:line="68" w:lineRule="exact"/>
        <w:rPr>
          <w:rFonts w:ascii="Times New Roman" w:cs="Times New Roman" w:eastAsia="Times New Roman" w:hAnsi="Times New Roman"/>
          <w:sz w:val="14"/>
          <w:szCs w:val="14"/>
          <w:color w:val="auto"/>
        </w:rPr>
      </w:pPr>
    </w:p>
    <w:p>
      <w:pPr>
        <w:ind w:left="2080" w:right="239" w:hanging="422"/>
        <w:spacing w:after="0" w:line="261" w:lineRule="auto"/>
        <w:tabs>
          <w:tab w:leader="none" w:pos="20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183 days or more during the taxable year and certain other conditions are met, in which case the non-U.S. holder will be subject to U.S. federal income tax at a rate of 30% on the non-U.S. holder’s capital gains (or such lower rate specified by an applicable income tax treaty), which may be offset by U.S. source capital losses of such non-U.S. holder (even though the individual is not considered a resident of the United States), provided the non-U.S. holder has timely filed U.S. federal income tax returns with respect to such losses.</w:t>
      </w:r>
    </w:p>
    <w:p>
      <w:pPr>
        <w:spacing w:after="0" w:line="142"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Pursuant to the Foreign Investment in Real Property Tax Act, which is referred to as “FIRPTA,” distributions to a non-U.S. holder that are attributable to gain from sales or exchanges by us of USRPIs, whether or not designated as capital gain dividends, will cause the non-U.S. holder to be treated as recognizing such gain as income effectively connected with a U.S. trade or business. Non-U.S. holders generally would be taxed at the regular rates applicable to U.S. holders, subject to any applicable alternative minimum tax and a special alternative minimum tax in the case of nonresident alien individuals. We also will be required to withhold and to remit to the IRS 21% of any distribution to non-U.S. holders attributable to gain from sales or exchanges by us of USRPIs. Distributions subject to FIRPTA may also be subject to a 30% branch profits tax in the hands of a non-U.S. holder that is a corporation. The amount withheld is creditable against the non-U.S. holder’s U.S. federal income tax liability. However, any distribution with respect to any class of stock that is “regularly traded,” as defined by applicable Treasury Regulations, on an established securities market located in the United States is not subject to FIRPTA, and therefore, not subject to the 21% U.S. withholding tax described above, if the non-U.S. holder did not own more than 10% of such class of stock at any time during the one-year period ending on the date of the distribution. Instead, such distributions generally will be treated as ordinary dividend distributions and subject to withholding in the manner described above with respect to ordinary dividends. In addition, distributions to certain non-U.S. publicly traded shareholders that meet certain record-keeping and other requirements (“qualified shareholders”) are exempt from FIRPTA, except to the extent owners of such qualified shareholders that are not also qualified shareholders own, actually or constructively, more than 10% of our capital stock. Furthermore, distributions to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44" w:lineRule="exact"/>
        <w:rPr>
          <w:sz w:val="20"/>
          <w:szCs w:val="20"/>
          <w:color w:val="auto"/>
        </w:rPr>
      </w:pPr>
    </w:p>
    <w:p>
      <w:pPr>
        <w:ind w:left="1320" w:right="23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Retention of Net Capital Gains</w:t>
      </w:r>
      <w:r>
        <w:rPr>
          <w:rFonts w:ascii="Times New Roman" w:cs="Times New Roman" w:eastAsia="Times New Roman" w:hAnsi="Times New Roman"/>
          <w:sz w:val="14"/>
          <w:szCs w:val="14"/>
          <w:color w:val="auto"/>
        </w:rPr>
        <w:t>. Although the law is not clear on the matter, it appears that amounts we designate as retained net capital gains in respect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our capital stock should be treated with respect to non-U.S. holders as</w:t>
      </w:r>
    </w:p>
    <w:p>
      <w:pPr>
        <w:spacing w:after="0" w:line="7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73</w:t>
      </w:r>
    </w:p>
    <w:p>
      <w:pPr>
        <w:sectPr>
          <w:pgSz w:w="11900" w:h="16838" w:orient="portrait"/>
          <w:cols w:equalWidth="0" w:num="1">
            <w:col w:w="10159"/>
          </w:cols>
          <w:pgMar w:left="300" w:top="388" w:right="1440"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79"/>
        <w:spacing w:after="0" w:line="264" w:lineRule="auto"/>
        <w:rPr>
          <w:sz w:val="20"/>
          <w:szCs w:val="20"/>
          <w:color w:val="auto"/>
        </w:rPr>
      </w:pPr>
      <w:r>
        <w:rPr>
          <w:rFonts w:ascii="Times New Roman" w:cs="Times New Roman" w:eastAsia="Times New Roman" w:hAnsi="Times New Roman"/>
          <w:sz w:val="14"/>
          <w:szCs w:val="14"/>
          <w:color w:val="auto"/>
        </w:rPr>
        <w:t>actual distributions of capital gain dividends. Under this approach, the non-U.S. holders may be able to offset as a credit against their U.S. federal income tax liability their proportionate share of the tax paid by us on such retained net capital gains and to receive from the IRS a refund to the extent their proportionate share of such tax paid by us exceeds their actual U.S. federal income tax liability. If we were to designate any portion of our net capital gain as retained net capital gain, non-U.S. holders should consult their tax advisors regarding the taxation of such retained net capital gain.</w:t>
      </w:r>
    </w:p>
    <w:p>
      <w:pPr>
        <w:spacing w:after="0" w:line="138"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Sale of Our Capital Stock</w:t>
      </w:r>
      <w:r>
        <w:rPr>
          <w:rFonts w:ascii="Times New Roman" w:cs="Times New Roman" w:eastAsia="Times New Roman" w:hAnsi="Times New Roman"/>
          <w:sz w:val="14"/>
          <w:szCs w:val="14"/>
          <w:color w:val="auto"/>
        </w:rPr>
        <w:t>. Except as described below under “—Redemption or Repurchase by Us,” gain realized by a non-U.S. holder upon the sale,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exchange or other taxable disposition of our capital stock generally will not be subject to U.S. federal income tax unless such stock constitutes a USRPI. In general, stock of a domestic corporation that constitutes a “United States real property holding corporation,” or USRPHC, will constitute a USRPI. We believe that we are a USRPHC. Our capital stock will not, however, constitute a USRPI so long as we are a “domestically controlled qualified investment entity.” A “domestically controlled qualified investment entity” includes a REIT in which at all times during a five-year testing period less than 50% in value of its stock is held directly or indirectly by non-United States persons, subject to certain ownership rules. For purposes of determining whether a REIT is a “domestically controlled qualified investment entity,” ownership generally will be determined by looking through certain pass-through entities and certain other entities. Notwithstanding the foregoing ownership rules, a person who at all applicable times holds less than 5% of a class of a REIT’s stock that is “regularly traded” on an established securities market in the United States will be treated as a United States person unless the REIT has actual knowledge that such person (i) is not a United States person or (ii) in certain cases, is a foreign-controlled entity. We believe, but cannot guarantee, that we are a “domestically controlled qualified investment entity.” Because our stock is (and, we anticipate, will continue to be) publicly traded, no assurance can be given that we will continue to be a “domestically controlled qualified investment entity.”</w:t>
      </w:r>
    </w:p>
    <w:p>
      <w:pPr>
        <w:spacing w:after="0" w:line="146" w:lineRule="exact"/>
        <w:rPr>
          <w:sz w:val="20"/>
          <w:szCs w:val="20"/>
          <w:color w:val="auto"/>
        </w:rPr>
      </w:pPr>
    </w:p>
    <w:p>
      <w:pPr>
        <w:ind w:left="1320" w:right="279"/>
        <w:spacing w:after="0" w:line="269" w:lineRule="auto"/>
        <w:rPr>
          <w:sz w:val="20"/>
          <w:szCs w:val="20"/>
          <w:color w:val="auto"/>
        </w:rPr>
      </w:pPr>
      <w:r>
        <w:rPr>
          <w:rFonts w:ascii="Times New Roman" w:cs="Times New Roman" w:eastAsia="Times New Roman" w:hAnsi="Times New Roman"/>
          <w:sz w:val="14"/>
          <w:szCs w:val="14"/>
          <w:color w:val="auto"/>
        </w:rPr>
        <w:t>Even if we do not qualify as a “domestically controlled qualified investment entity” at the time a non-U.S. holder sells our capital stock, gain realized from the sale or other taxable disposition by a non-U.S. holder of such capital stock would not be subject to U.S. federal income tax under FIRPTA as a sale of a USRPI if:</w:t>
      </w:r>
    </w:p>
    <w:p>
      <w:pPr>
        <w:spacing w:after="0" w:line="52" w:lineRule="exact"/>
        <w:rPr>
          <w:sz w:val="20"/>
          <w:szCs w:val="20"/>
          <w:color w:val="auto"/>
        </w:rPr>
      </w:pPr>
    </w:p>
    <w:p>
      <w:pPr>
        <w:ind w:left="1660" w:right="259" w:firstLine="5"/>
        <w:spacing w:after="0" w:line="286" w:lineRule="auto"/>
        <w:tabs>
          <w:tab w:leader="none" w:pos="18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class of capital stock is “regularly traded,” as defined by applicable Treasury Regulations, on an established securities market such as the NYSE; and</w:t>
      </w:r>
    </w:p>
    <w:p>
      <w:pPr>
        <w:spacing w:after="0" w:line="40" w:lineRule="exact"/>
        <w:rPr>
          <w:rFonts w:ascii="Times New Roman" w:cs="Times New Roman" w:eastAsia="Times New Roman" w:hAnsi="Times New Roman"/>
          <w:sz w:val="14"/>
          <w:szCs w:val="14"/>
          <w:color w:val="auto"/>
        </w:rPr>
      </w:pPr>
    </w:p>
    <w:p>
      <w:pPr>
        <w:ind w:left="1660" w:right="519" w:firstLine="5"/>
        <w:spacing w:after="0" w:line="286" w:lineRule="auto"/>
        <w:tabs>
          <w:tab w:leader="none" w:pos="186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non-U.S. holder owned, actually and constructively, 10% or less of such class of capital stock throughout the shorter of the five-year period ending on the date of the sale or other taxable disposition or the non-U.S. holder’s holding period.</w:t>
      </w:r>
    </w:p>
    <w:p>
      <w:pPr>
        <w:spacing w:after="0" w:line="125" w:lineRule="exact"/>
        <w:rPr>
          <w:sz w:val="20"/>
          <w:szCs w:val="20"/>
          <w:color w:val="auto"/>
        </w:rPr>
      </w:pPr>
    </w:p>
    <w:p>
      <w:pPr>
        <w:ind w:left="1320" w:right="319"/>
        <w:spacing w:after="0" w:line="264" w:lineRule="auto"/>
        <w:rPr>
          <w:sz w:val="20"/>
          <w:szCs w:val="20"/>
          <w:color w:val="auto"/>
        </w:rPr>
      </w:pPr>
      <w:r>
        <w:rPr>
          <w:rFonts w:ascii="Times New Roman" w:cs="Times New Roman" w:eastAsia="Times New Roman" w:hAnsi="Times New Roman"/>
          <w:sz w:val="14"/>
          <w:szCs w:val="14"/>
          <w:color w:val="auto"/>
        </w:rPr>
        <w:t>In addition, dispositions of our capital stock by qualified shareholders are exempt from FIRPTA, except to the extent owners of such qualified shareholders that are not also qualified shareholders own, actually or constructively, more than 10% of our capital stock. Furthermore, dispositions of our capital stock by certain “qualified foreign pension funds” or entities all of the interests of which are held by such “qualified foreign pension funds” are exempt from FIRPTA. Non-U.S. holders should consult their tax advisors regarding the application of these rules.</w:t>
      </w:r>
    </w:p>
    <w:p>
      <w:pPr>
        <w:spacing w:after="0" w:line="140" w:lineRule="exact"/>
        <w:rPr>
          <w:sz w:val="20"/>
          <w:szCs w:val="20"/>
          <w:color w:val="auto"/>
        </w:rPr>
      </w:pPr>
    </w:p>
    <w:p>
      <w:pPr>
        <w:ind w:left="1320" w:right="199"/>
        <w:spacing w:after="0" w:line="257" w:lineRule="auto"/>
        <w:rPr>
          <w:sz w:val="20"/>
          <w:szCs w:val="20"/>
          <w:color w:val="auto"/>
        </w:rPr>
      </w:pPr>
      <w:r>
        <w:rPr>
          <w:rFonts w:ascii="Times New Roman" w:cs="Times New Roman" w:eastAsia="Times New Roman" w:hAnsi="Times New Roman"/>
          <w:sz w:val="14"/>
          <w:szCs w:val="14"/>
          <w:color w:val="auto"/>
        </w:rPr>
        <w:t>Notwithstanding the foregoing, gain from the sale, exchange or other taxable disposition of our capital stock not otherwise subject to FIRPTA will be taxable to a non-U.S. holder if either (a) the investment in our capital stock is treated as effectively connected with the conduct by the non-U.S. holder of a trade or business within the United States (and, if required by an applicable income tax treaty, the non-U.S. holder maintains a permanent establishment in the United States to which such gain is attributable), in which case the non-U.S. holder will be subject to the same treatment as U.S. holders with respect to such gain, except that a non-U.S. holder that is a corporation may also be subject to the 30% branch profits tax (or such lower rate as may be specified by an applicable income tax treaty) on such gain, as adjusted for certain items, or (b) the non-U.S. holder is a nonresident alien individual who is present in the United States for 183 days or more during the taxable year and certain other conditions are met, in which case the non-U.S. holder will be subject to a 30% tax on the non-U.S. holder’s capital gains (or such lower rate specified by an applicable income tax treaty), which may be offset by</w:t>
      </w:r>
    </w:p>
    <w:p>
      <w:pPr>
        <w:spacing w:after="0" w:line="26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74</w:t>
      </w:r>
    </w:p>
    <w:p>
      <w:pPr>
        <w:sectPr>
          <w:pgSz w:w="11900" w:h="16838" w:orient="portrait"/>
          <w:cols w:equalWidth="0" w:num="1">
            <w:col w:w="10159"/>
          </w:cols>
          <w:pgMar w:left="300" w:top="388" w:right="1440"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color w:val="auto"/>
        </w:rPr>
        <w:t>U.S. source capital losses of the non-U.S. holder (even though the individual is not considered a resident of the United States), provided the non-U.S. holder has timely filed U.S. federal income tax returns with respect to such losses. In addition, even if we are a domestically controlled qualified investment entity, upon disposition of our capital stock, a non-U.S. holder may be treated as having gain from the sale or other taxable disposition of a USRPI if the non-U.S. holder (1) disposes of such stock within a 30-day period preceding the ex-dividend date of a distribution, any portion of which, but for the disposition, would have been treated as gain from the sale or exchange of a USRPI and (2) acquires, or enters into a contract or option to acquire, or is deemed to acquire, other shares of that stock during the 61-day period beginning with the first day of the 30-day period described in clause</w:t>
      </w:r>
    </w:p>
    <w:p>
      <w:pPr>
        <w:spacing w:after="0" w:line="2" w:lineRule="exact"/>
        <w:rPr>
          <w:sz w:val="20"/>
          <w:szCs w:val="20"/>
          <w:color w:val="auto"/>
        </w:rPr>
      </w:pPr>
    </w:p>
    <w:p>
      <w:pPr>
        <w:ind w:left="1320" w:right="459"/>
        <w:spacing w:after="0" w:line="265" w:lineRule="auto"/>
        <w:rPr>
          <w:sz w:val="20"/>
          <w:szCs w:val="20"/>
          <w:color w:val="auto"/>
        </w:rPr>
      </w:pPr>
      <w:r>
        <w:rPr>
          <w:rFonts w:ascii="Times New Roman" w:cs="Times New Roman" w:eastAsia="Times New Roman" w:hAnsi="Times New Roman"/>
          <w:sz w:val="14"/>
          <w:szCs w:val="14"/>
          <w:color w:val="auto"/>
        </w:rPr>
        <w:t>(1), unless such class of stock is “regularly traded” and the non-U.S. holder did not own more than 10% of such class of stock at any time during the one-year period ending on the date of the distribution described in clause (1).</w:t>
      </w:r>
    </w:p>
    <w:p>
      <w:pPr>
        <w:spacing w:after="0" w:line="139" w:lineRule="exact"/>
        <w:rPr>
          <w:sz w:val="20"/>
          <w:szCs w:val="20"/>
          <w:color w:val="auto"/>
        </w:rPr>
      </w:pPr>
    </w:p>
    <w:p>
      <w:pPr>
        <w:ind w:left="1320" w:right="239"/>
        <w:spacing w:after="0" w:line="259" w:lineRule="auto"/>
        <w:rPr>
          <w:sz w:val="20"/>
          <w:szCs w:val="20"/>
          <w:color w:val="auto"/>
        </w:rPr>
      </w:pPr>
      <w:r>
        <w:rPr>
          <w:rFonts w:ascii="Times New Roman" w:cs="Times New Roman" w:eastAsia="Times New Roman" w:hAnsi="Times New Roman"/>
          <w:sz w:val="14"/>
          <w:szCs w:val="14"/>
          <w:color w:val="auto"/>
        </w:rPr>
        <w:t>If gain on the sale, exchange or other taxable disposition of our capital stock were subject to taxation under FIRPTA, the non-U.S. holder would be required to file a U.S. federal income tax return and would be subject to regular U.S. federal income tax with respect to such gain in the same manner as a taxable U.S. holder (subject to any applicable alternative minimum tax and a special alternative minimum tax in the case of nonresident alien individuals). In addition, if the sale, exchange or other taxable disposition of our capital stock were subject to taxation under FIRPTA, and if shares of the applicable class of our capital stock were not “regularly traded” on an established securities market, the purchaser of such capital stock generally would be required to withhold and remit to the IRS 15% of the purchase price.</w:t>
      </w:r>
    </w:p>
    <w:p>
      <w:pPr>
        <w:spacing w:after="0" w:line="143" w:lineRule="exact"/>
        <w:rPr>
          <w:sz w:val="20"/>
          <w:szCs w:val="20"/>
          <w:color w:val="auto"/>
        </w:rPr>
      </w:pPr>
    </w:p>
    <w:p>
      <w:pPr>
        <w:ind w:left="1320" w:right="259"/>
        <w:spacing w:after="0" w:line="258" w:lineRule="auto"/>
        <w:rPr>
          <w:sz w:val="20"/>
          <w:szCs w:val="20"/>
          <w:color w:val="auto"/>
        </w:rPr>
      </w:pPr>
      <w:r>
        <w:rPr>
          <w:rFonts w:ascii="Times New Roman" w:cs="Times New Roman" w:eastAsia="Times New Roman" w:hAnsi="Times New Roman"/>
          <w:sz w:val="14"/>
          <w:szCs w:val="14"/>
          <w:b w:val="1"/>
          <w:bCs w:val="1"/>
          <w:i w:val="1"/>
          <w:iCs w:val="1"/>
          <w:color w:val="auto"/>
        </w:rPr>
        <w:t>Redemption or Repurchase by Us</w:t>
      </w:r>
      <w:r>
        <w:rPr>
          <w:rFonts w:ascii="Times New Roman" w:cs="Times New Roman" w:eastAsia="Times New Roman" w:hAnsi="Times New Roman"/>
          <w:sz w:val="14"/>
          <w:szCs w:val="14"/>
          <w:color w:val="auto"/>
        </w:rPr>
        <w:t>. A redemption or repurchase of shares of our capital stock will be treated under Section 302 of the Code as a</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 (and taxable as a dividend to the extent of our current and accumulated earnings and profits) unless the redemption or repurchase satisfies one of the tests set forth in Section 302(b) of the Code and is therefore treated as a sale or exchange of the redeemed or repurchased shares. See “— Taxation of Taxable U.S. Holders of Our Capital Stock—Redemption or Repurchase by Us.” Qualified shareholders and their owners may be subject to different rules, and should consult their tax advisors regarding the application of such rules. If the redemption or repurchase of shares is treated as a distribution, the amount of the distribution will be measured by the amount of cash and the fair market value of any property received. See “—Taxation of Non-U.S. Holders of Our Capital Stock—Distributions Generally” above. If the redemption or repurchase of shares is not treated as a distribution, it will be treated as a taxable sale or exchange in the manner described above under “—Sale of Our Capital Stock.”</w:t>
      </w:r>
    </w:p>
    <w:p>
      <w:pPr>
        <w:spacing w:after="0" w:line="2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Taxation of Holders of the Operating Partnership’s Debt Securities</w:t>
      </w:r>
    </w:p>
    <w:p>
      <w:pPr>
        <w:spacing w:after="0" w:line="95" w:lineRule="exact"/>
        <w:rPr>
          <w:sz w:val="20"/>
          <w:szCs w:val="20"/>
          <w:color w:val="auto"/>
        </w:rPr>
      </w:pPr>
    </w:p>
    <w:p>
      <w:pPr>
        <w:ind w:left="1320" w:right="219"/>
        <w:spacing w:after="0" w:line="261" w:lineRule="auto"/>
        <w:rPr>
          <w:sz w:val="20"/>
          <w:szCs w:val="20"/>
          <w:color w:val="auto"/>
        </w:rPr>
      </w:pPr>
      <w:r>
        <w:rPr>
          <w:rFonts w:ascii="Times New Roman" w:cs="Times New Roman" w:eastAsia="Times New Roman" w:hAnsi="Times New Roman"/>
          <w:sz w:val="14"/>
          <w:szCs w:val="14"/>
          <w:color w:val="auto"/>
        </w:rPr>
        <w:t>The following summary describes certain material U.S. federal income tax consequences of purchasing, owning and disposing of debt securities issued by the operating partnership. This discussion assumes the debt securities will be issued with less than a statutory de minimis amount of original issue discount for U.S. federal income tax purposes. In addition, this discussion is limited to persons purchasing the debt securities for cash at original issue and at their original “issue price” within the meaning of Section 1273 of the Code (i.e., the first price at which a substantial amount of the debt securities is sold to the public for cash).</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U.S. Holders</w:t>
      </w:r>
    </w:p>
    <w:p>
      <w:pPr>
        <w:spacing w:after="0" w:line="93" w:lineRule="exact"/>
        <w:rPr>
          <w:sz w:val="20"/>
          <w:szCs w:val="20"/>
          <w:color w:val="auto"/>
        </w:rPr>
      </w:pPr>
    </w:p>
    <w:p>
      <w:pPr>
        <w:ind w:left="1320" w:right="45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Payments of Interest</w:t>
      </w:r>
      <w:r>
        <w:rPr>
          <w:rFonts w:ascii="Times New Roman" w:cs="Times New Roman" w:eastAsia="Times New Roman" w:hAnsi="Times New Roman"/>
          <w:sz w:val="14"/>
          <w:szCs w:val="14"/>
          <w:color w:val="auto"/>
        </w:rPr>
        <w:t>. Interest on a debt security generally will be taxable to a U.S. holder as ordinary income at the time such interest is received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accrued, in accordance with such U.S. holder’s method of accounting for U.S. federal income tax purposes.</w:t>
      </w:r>
    </w:p>
    <w:p>
      <w:pPr>
        <w:spacing w:after="0" w:line="121" w:lineRule="exact"/>
        <w:rPr>
          <w:sz w:val="20"/>
          <w:szCs w:val="20"/>
          <w:color w:val="auto"/>
        </w:rPr>
      </w:pPr>
    </w:p>
    <w:p>
      <w:pPr>
        <w:jc w:val="both"/>
        <w:ind w:left="1320" w:right="21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r>
        <w:rPr>
          <w:rFonts w:ascii="Times New Roman" w:cs="Times New Roman" w:eastAsia="Times New Roman" w:hAnsi="Times New Roman"/>
          <w:sz w:val="14"/>
          <w:szCs w:val="14"/>
          <w:color w:val="auto"/>
        </w:rPr>
        <w:t>. A U.S. holder will recognize gain or loss on the sale, exchange, redemption, retirement or other taxable disposition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 a debt security. The amount of such gain or loss generally will be equal to the difference between the amount received for the debt security in cash or other property valued at fair market value (less amounts attributable to any accrued but unpaid interest, which will be taxable as interest to the extent not previously included in income) and the U.S. holder’s adjusted tax basis in the debt security. A U.S. holder’s</w:t>
      </w:r>
    </w:p>
    <w:p>
      <w:pPr>
        <w:spacing w:after="0" w:line="8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75</w:t>
      </w:r>
    </w:p>
    <w:p>
      <w:pPr>
        <w:sectPr>
          <w:pgSz w:w="11900" w:h="16838" w:orient="portrait"/>
          <w:cols w:equalWidth="0" w:num="1">
            <w:col w:w="10159"/>
          </w:cols>
          <w:pgMar w:left="300" w:top="388" w:right="1440"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adjusted tax basis in a debt security generally will be equal to the amount the U.S. holder paid for the debt security. Any gain or loss generally will be capital gain or loss, and will be long-term capital gain or loss if the U.S. holder has held the debt security for more than one year at the time of such sale or other taxable disposition. Otherwise, such gain or loss will be short-term capital gain or loss. Long-term capital gains recognized by certain non-corporate U.S. holders, including individuals, generally will be taxable at reduced rates. The deductibility of capital losses is subject to limitations.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i w:val="1"/>
          <w:iCs w:val="1"/>
          <w:color w:val="auto"/>
        </w:rPr>
        <w:t>Non-U.S. Holders</w:t>
      </w:r>
    </w:p>
    <w:p>
      <w:pPr>
        <w:spacing w:after="0" w:line="93" w:lineRule="exact"/>
        <w:rPr>
          <w:sz w:val="20"/>
          <w:szCs w:val="20"/>
          <w:color w:val="auto"/>
        </w:rPr>
      </w:pPr>
    </w:p>
    <w:p>
      <w:pPr>
        <w:ind w:left="1320" w:right="219"/>
        <w:spacing w:after="0" w:line="289" w:lineRule="auto"/>
        <w:rPr>
          <w:sz w:val="20"/>
          <w:szCs w:val="20"/>
          <w:color w:val="auto"/>
        </w:rPr>
      </w:pPr>
      <w:r>
        <w:rPr>
          <w:rFonts w:ascii="Times New Roman" w:cs="Times New Roman" w:eastAsia="Times New Roman" w:hAnsi="Times New Roman"/>
          <w:sz w:val="14"/>
          <w:szCs w:val="14"/>
          <w:b w:val="1"/>
          <w:bCs w:val="1"/>
          <w:i w:val="1"/>
          <w:iCs w:val="1"/>
          <w:color w:val="auto"/>
        </w:rPr>
        <w:t>Payments of Interest</w:t>
      </w:r>
      <w:r>
        <w:rPr>
          <w:rFonts w:ascii="Times New Roman" w:cs="Times New Roman" w:eastAsia="Times New Roman" w:hAnsi="Times New Roman"/>
          <w:sz w:val="14"/>
          <w:szCs w:val="14"/>
          <w:color w:val="auto"/>
        </w:rPr>
        <w:t>. Interest paid on a debt security to a non-U.S. holder that is not effectively connected with the non-U.S. holder’s conduct of a trade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business within the United States generally will not be subject to U.S. federal income tax or withholding, provided that:</w:t>
      </w:r>
    </w:p>
    <w:p>
      <w:pPr>
        <w:spacing w:after="0" w:line="49" w:lineRule="exact"/>
        <w:rPr>
          <w:sz w:val="20"/>
          <w:szCs w:val="20"/>
          <w:color w:val="auto"/>
        </w:rPr>
      </w:pPr>
    </w:p>
    <w:p>
      <w:pPr>
        <w:ind w:left="2080" w:hanging="337"/>
        <w:spacing w:after="0"/>
        <w:tabs>
          <w:tab w:leader="none" w:pos="2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does not, actually or constructively, own 10% or more of the operating partnership’s capital or profits;</w:t>
      </w:r>
    </w:p>
    <w:p>
      <w:pPr>
        <w:spacing w:after="0" w:line="104" w:lineRule="exact"/>
        <w:rPr>
          <w:rFonts w:ascii="Times New Roman" w:cs="Times New Roman" w:eastAsia="Times New Roman" w:hAnsi="Times New Roman"/>
          <w:sz w:val="14"/>
          <w:szCs w:val="14"/>
          <w:color w:val="auto"/>
        </w:rPr>
      </w:pPr>
    </w:p>
    <w:p>
      <w:pPr>
        <w:ind w:left="2080" w:right="699" w:hanging="337"/>
        <w:spacing w:after="0" w:line="286" w:lineRule="auto"/>
        <w:tabs>
          <w:tab w:leader="none" w:pos="2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not a controlled foreign corporation related to the operating partnership through actual or constructive stock ownership; and</w:t>
      </w:r>
    </w:p>
    <w:p>
      <w:pPr>
        <w:spacing w:after="0" w:line="50" w:lineRule="exact"/>
        <w:rPr>
          <w:rFonts w:ascii="Times New Roman" w:cs="Times New Roman" w:eastAsia="Times New Roman" w:hAnsi="Times New Roman"/>
          <w:sz w:val="14"/>
          <w:szCs w:val="14"/>
          <w:color w:val="auto"/>
        </w:rPr>
      </w:pPr>
    </w:p>
    <w:p>
      <w:pPr>
        <w:ind w:left="2080" w:right="239" w:hanging="337"/>
        <w:spacing w:after="0" w:line="258" w:lineRule="auto"/>
        <w:tabs>
          <w:tab w:leader="none" w:pos="20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either (1) the non-U.S. holder certifies in a statement provided to the applicable withholding agent under penalties of perjury that it is not a United States person and provides its name and address; (2) a securities clearing organization, bank or other financial institution that holds customers’ securities in the ordinary course of its trade or business and holds the debt security on behalf of the non-U.S. holder certifies to the applicable withholding agent under penalties of perjury that it, or the financial institution between it and the non-U.S. holder, has received from the non-U.S. holder a statement under penalties of perjury that such holder is not a United States person and provides the applicable withholding agent with a copy of such statement; or (3) the non-U.S. holder holds its debt security directly through a “qualified intermediary” (within the meaning of the applicable Treasury Regulations) and certain conditions are satisfied.</w:t>
      </w:r>
    </w:p>
    <w:p>
      <w:pPr>
        <w:spacing w:after="0" w:line="145"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If a non-U.S. holder does not satisfy the requirements above, such non-U.S. holder will be subject to withholding tax of 30%, subject to a reduction in or an exemption from withholding on such interest as a result of an applicable tax treaty. To claim such entitlement, the non-U.S. holder must provide the applicable withholding agent with a properly executed IRS Form W-8BEN or W-8BEN-E (or other applicable documentation) claiming a reduction in or exemption from withholding tax under the benefit of an income tax treaty between the United States and the country in which the non-U.S. holder resides or is established.</w:t>
      </w:r>
    </w:p>
    <w:p>
      <w:pPr>
        <w:spacing w:after="0" w:line="142" w:lineRule="exact"/>
        <w:rPr>
          <w:sz w:val="20"/>
          <w:szCs w:val="20"/>
          <w:color w:val="auto"/>
        </w:rPr>
      </w:pPr>
    </w:p>
    <w:p>
      <w:pPr>
        <w:ind w:left="1320" w:right="299"/>
        <w:spacing w:after="0" w:line="261" w:lineRule="auto"/>
        <w:rPr>
          <w:sz w:val="20"/>
          <w:szCs w:val="20"/>
          <w:color w:val="auto"/>
        </w:rPr>
      </w:pPr>
      <w:r>
        <w:rPr>
          <w:rFonts w:ascii="Times New Roman" w:cs="Times New Roman" w:eastAsia="Times New Roman" w:hAnsi="Times New Roman"/>
          <w:sz w:val="14"/>
          <w:szCs w:val="14"/>
          <w:color w:val="auto"/>
        </w:rPr>
        <w:t>If interest paid to a non-U.S. holder is effectively connected with the non-U.S. holder’s conduct of a trade or business within the United States (and, if required by an applicable income tax treaty, the non-U.S. holder maintains a permanent establishment in the United States to which such interest is attributable), the non-U.S. holder will be exempt from the U.S. federal withholding tax described above. To claim the exemption, the non-U.S. holder must furnish to the applicable withholding agent a valid IRS Form W-8ECI, certifying that interest paid on a debt security is not subject to withholding tax because it is effectively connected with the conduct by the non-U.S. holder of a trade or business within the United States.</w:t>
      </w:r>
    </w:p>
    <w:p>
      <w:pPr>
        <w:spacing w:after="0" w:line="142" w:lineRule="exact"/>
        <w:rPr>
          <w:sz w:val="20"/>
          <w:szCs w:val="20"/>
          <w:color w:val="auto"/>
        </w:rPr>
      </w:pPr>
    </w:p>
    <w:p>
      <w:pPr>
        <w:ind w:left="1320" w:right="319"/>
        <w:spacing w:after="0" w:line="269" w:lineRule="auto"/>
        <w:rPr>
          <w:sz w:val="20"/>
          <w:szCs w:val="20"/>
          <w:color w:val="auto"/>
        </w:rPr>
      </w:pPr>
      <w:r>
        <w:rPr>
          <w:rFonts w:ascii="Times New Roman" w:cs="Times New Roman" w:eastAsia="Times New Roman" w:hAnsi="Times New Roman"/>
          <w:sz w:val="14"/>
          <w:szCs w:val="14"/>
          <w:color w:val="auto"/>
        </w:rPr>
        <w:t>Any such effectively connected interest generally will be subject to U.S. federal income tax at the regular rates. A non-U.S. holder that is a corporation may also be subject to a branch profits tax at a rate of 30% (or such lower rate specified by an applicable income tax treaty) on such effectively connected interest, as adjusted for certain items.</w:t>
      </w:r>
    </w:p>
    <w:p>
      <w:pPr>
        <w:spacing w:after="0" w:line="137" w:lineRule="exact"/>
        <w:rPr>
          <w:sz w:val="20"/>
          <w:szCs w:val="20"/>
          <w:color w:val="auto"/>
        </w:rPr>
      </w:pPr>
    </w:p>
    <w:p>
      <w:pPr>
        <w:ind w:left="1320" w:right="299"/>
        <w:spacing w:after="0" w:line="269" w:lineRule="auto"/>
        <w:rPr>
          <w:sz w:val="20"/>
          <w:szCs w:val="20"/>
          <w:color w:val="auto"/>
        </w:rPr>
      </w:pPr>
      <w:r>
        <w:rPr>
          <w:rFonts w:ascii="Times New Roman" w:cs="Times New Roman" w:eastAsia="Times New Roman" w:hAnsi="Times New Roman"/>
          <w:sz w:val="14"/>
          <w:szCs w:val="14"/>
          <w:color w:val="auto"/>
        </w:rPr>
        <w:t>The certifications described above must be provided to the applicable withholding agent prior to the payment of interest and must be updated periodically. Non-U.S. holders that do not timely provide the applicable withholding agent with the required certification, but that qualify for a reduced rate under an applicable income</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76</w:t>
      </w:r>
    </w:p>
    <w:p>
      <w:pPr>
        <w:sectPr>
          <w:pgSz w:w="11900" w:h="16838" w:orient="portrait"/>
          <w:cols w:equalWidth="0" w:num="1">
            <w:col w:w="10159"/>
          </w:cols>
          <w:pgMar w:left="300" w:top="388"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339"/>
        <w:spacing w:after="0" w:line="286" w:lineRule="auto"/>
        <w:rPr>
          <w:sz w:val="20"/>
          <w:szCs w:val="20"/>
          <w:color w:val="auto"/>
        </w:rPr>
      </w:pPr>
      <w:r>
        <w:rPr>
          <w:rFonts w:ascii="Times New Roman" w:cs="Times New Roman" w:eastAsia="Times New Roman" w:hAnsi="Times New Roman"/>
          <w:sz w:val="14"/>
          <w:szCs w:val="14"/>
          <w:color w:val="auto"/>
        </w:rPr>
        <w:t>tax treaty,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3" w:lineRule="exact"/>
        <w:rPr>
          <w:sz w:val="20"/>
          <w:szCs w:val="20"/>
          <w:color w:val="auto"/>
        </w:rPr>
      </w:pPr>
    </w:p>
    <w:p>
      <w:pPr>
        <w:ind w:left="1320" w:right="23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Sale or Other Taxable Disposition</w:t>
      </w:r>
      <w:r>
        <w:rPr>
          <w:rFonts w:ascii="Times New Roman" w:cs="Times New Roman" w:eastAsia="Times New Roman" w:hAnsi="Times New Roman"/>
          <w:sz w:val="14"/>
          <w:szCs w:val="14"/>
          <w:color w:val="auto"/>
        </w:rPr>
        <w:t>. A non-U.S. holder will not be subject to U.S. federal income tax on any gain realized upon the sale, exchange,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redemption, retirement or other taxable disposition of a debt security (such amount excludes any amount allocable to accrued and unpaid interest, which generally will be treated as interest and may be subject to the rules discussed above in “—Taxation of Holders of the Operating Partnership’s Debt Securities—Non-U.S. Holders—Payments of Interest”) unless:</w:t>
      </w:r>
    </w:p>
    <w:p>
      <w:pPr>
        <w:spacing w:after="0" w:line="65" w:lineRule="exact"/>
        <w:rPr>
          <w:sz w:val="20"/>
          <w:szCs w:val="20"/>
          <w:color w:val="auto"/>
        </w:rPr>
      </w:pPr>
    </w:p>
    <w:p>
      <w:pPr>
        <w:ind w:left="2080" w:right="299" w:hanging="337"/>
        <w:spacing w:after="0" w:line="269" w:lineRule="auto"/>
        <w:tabs>
          <w:tab w:leader="none" w:pos="2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 or</w:t>
      </w:r>
    </w:p>
    <w:p>
      <w:pPr>
        <w:spacing w:after="0" w:line="62" w:lineRule="exact"/>
        <w:rPr>
          <w:rFonts w:ascii="Times New Roman" w:cs="Times New Roman" w:eastAsia="Times New Roman" w:hAnsi="Times New Roman"/>
          <w:sz w:val="14"/>
          <w:szCs w:val="14"/>
          <w:color w:val="auto"/>
        </w:rPr>
      </w:pPr>
    </w:p>
    <w:p>
      <w:pPr>
        <w:ind w:left="2080" w:right="619" w:hanging="337"/>
        <w:spacing w:after="0" w:line="286" w:lineRule="auto"/>
        <w:tabs>
          <w:tab w:leader="none" w:pos="20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present in the United States for 183 days or more during the taxable year of the disposition and certain other requirements are met.</w:t>
      </w:r>
    </w:p>
    <w:p>
      <w:pPr>
        <w:spacing w:after="0" w:line="125" w:lineRule="exact"/>
        <w:rPr>
          <w:sz w:val="20"/>
          <w:szCs w:val="20"/>
          <w:color w:val="auto"/>
        </w:rPr>
      </w:pPr>
    </w:p>
    <w:p>
      <w:pPr>
        <w:jc w:val="both"/>
        <w:ind w:left="1320" w:right="299"/>
        <w:spacing w:after="0" w:line="269"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37" w:lineRule="exact"/>
        <w:rPr>
          <w:sz w:val="20"/>
          <w:szCs w:val="20"/>
          <w:color w:val="auto"/>
        </w:rPr>
      </w:pPr>
    </w:p>
    <w:p>
      <w:pPr>
        <w:jc w:val="both"/>
        <w:ind w:left="1320" w:right="199"/>
        <w:spacing w:after="0" w:line="264" w:lineRule="auto"/>
        <w:rPr>
          <w:sz w:val="20"/>
          <w:szCs w:val="20"/>
          <w:color w:val="auto"/>
        </w:rPr>
      </w:pPr>
      <w:r>
        <w:rPr>
          <w:rFonts w:ascii="Times New Roman" w:cs="Times New Roman" w:eastAsia="Times New Roman" w:hAnsi="Times New Roman"/>
          <w:sz w:val="14"/>
          <w:szCs w:val="14"/>
          <w:color w:val="auto"/>
        </w:rPr>
        <w:t>A non-U.S. holder described in the second bullet point above will be subject to U.S. federal income tax at a rate of 30% (or such lower rate specified by an applicable income tax treaty) on gain realized upon the sale or other taxable disposition of a debt security,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26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3" w:lineRule="exact"/>
        <w:rPr>
          <w:sz w:val="20"/>
          <w:szCs w:val="20"/>
          <w:color w:val="auto"/>
        </w:rPr>
      </w:pPr>
    </w:p>
    <w:p>
      <w:pPr>
        <w:ind w:left="1320" w:right="29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U.S. Holders</w:t>
      </w:r>
      <w:r>
        <w:rPr>
          <w:rFonts w:ascii="Times New Roman" w:cs="Times New Roman" w:eastAsia="Times New Roman" w:hAnsi="Times New Roman"/>
          <w:sz w:val="14"/>
          <w:szCs w:val="14"/>
          <w:color w:val="auto"/>
        </w:rPr>
        <w:t>. A U.S. holder may be subject to information reporting and backup withholding when such holder receives payments on our capital stock</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or the operating partnership’s debt securities or proceeds from the sale or other taxable disposition of such stock or debt securities (including a redemption or retirement of a debt security). Certain U.S. holders are exempt from backup withholding, including corporations and certain tax-exempt organizations. A U.S. holder will be subject to backup withholding if such holder is not otherwise exempt and:</w:t>
      </w:r>
    </w:p>
    <w:p>
      <w:pPr>
        <w:spacing w:after="0" w:line="65" w:lineRule="exact"/>
        <w:rPr>
          <w:sz w:val="20"/>
          <w:szCs w:val="20"/>
          <w:color w:val="auto"/>
        </w:rPr>
      </w:pPr>
    </w:p>
    <w:p>
      <w:pPr>
        <w:ind w:left="2080" w:right="639" w:hanging="337"/>
        <w:spacing w:after="0" w:line="286" w:lineRule="auto"/>
        <w:tabs>
          <w:tab w:leader="none" w:pos="2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furnish the holder’s taxpayer identification number, which for an individual is ordinarily his or her social security number;</w:t>
      </w:r>
    </w:p>
    <w:p>
      <w:pPr>
        <w:spacing w:after="0" w:line="50" w:lineRule="exact"/>
        <w:rPr>
          <w:rFonts w:ascii="Times New Roman" w:cs="Times New Roman" w:eastAsia="Times New Roman" w:hAnsi="Times New Roman"/>
          <w:sz w:val="14"/>
          <w:szCs w:val="14"/>
          <w:color w:val="auto"/>
        </w:rPr>
      </w:pPr>
    </w:p>
    <w:p>
      <w:pPr>
        <w:ind w:left="2080" w:hanging="337"/>
        <w:spacing w:after="0"/>
        <w:tabs>
          <w:tab w:leader="none" w:pos="2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furnishes an incorrect taxpayer identification number;</w:t>
      </w:r>
    </w:p>
    <w:p>
      <w:pPr>
        <w:spacing w:after="0" w:line="104" w:lineRule="exact"/>
        <w:rPr>
          <w:rFonts w:ascii="Times New Roman" w:cs="Times New Roman" w:eastAsia="Times New Roman" w:hAnsi="Times New Roman"/>
          <w:sz w:val="14"/>
          <w:szCs w:val="14"/>
          <w:color w:val="auto"/>
        </w:rPr>
      </w:pPr>
    </w:p>
    <w:p>
      <w:pPr>
        <w:ind w:left="2080" w:right="779" w:hanging="337"/>
        <w:spacing w:after="0" w:line="286" w:lineRule="auto"/>
        <w:tabs>
          <w:tab w:leader="none" w:pos="2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withholding agent is notified by the IRS that the holder previously failed to properly report payments of interest or dividends; or</w:t>
      </w:r>
    </w:p>
    <w:p>
      <w:pPr>
        <w:spacing w:after="0" w:line="50" w:lineRule="exact"/>
        <w:rPr>
          <w:rFonts w:ascii="Times New Roman" w:cs="Times New Roman" w:eastAsia="Times New Roman" w:hAnsi="Times New Roman"/>
          <w:sz w:val="14"/>
          <w:szCs w:val="14"/>
          <w:color w:val="auto"/>
        </w:rPr>
      </w:pPr>
    </w:p>
    <w:p>
      <w:pPr>
        <w:ind w:left="2080" w:right="299" w:hanging="337"/>
        <w:spacing w:after="0" w:line="286" w:lineRule="auto"/>
        <w:tabs>
          <w:tab w:leader="none" w:pos="20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fails to certify under penalties of perjury that the holder has furnished a correct taxpayer identification number and that the IRS has not notified the holder that the holder is subject to backup withholding.</w:t>
      </w:r>
    </w:p>
    <w:p>
      <w:pPr>
        <w:spacing w:after="0" w:line="125" w:lineRule="exact"/>
        <w:rPr>
          <w:sz w:val="20"/>
          <w:szCs w:val="20"/>
          <w:color w:val="auto"/>
        </w:rPr>
      </w:pPr>
    </w:p>
    <w:p>
      <w:pPr>
        <w:ind w:left="1320" w:right="239"/>
        <w:spacing w:after="0" w:line="269"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77</w:t>
      </w:r>
    </w:p>
    <w:p>
      <w:pPr>
        <w:sectPr>
          <w:pgSz w:w="11900" w:h="16838" w:orient="portrait"/>
          <w:cols w:equalWidth="0" w:num="1">
            <w:col w:w="10159"/>
          </w:cols>
          <w:pgMar w:left="300" w:top="388"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1320" w:right="219"/>
        <w:spacing w:after="0" w:line="256" w:lineRule="auto"/>
        <w:rPr>
          <w:sz w:val="20"/>
          <w:szCs w:val="20"/>
          <w:color w:val="auto"/>
        </w:rPr>
      </w:pPr>
      <w:r>
        <w:rPr>
          <w:rFonts w:ascii="Times New Roman" w:cs="Times New Roman" w:eastAsia="Times New Roman" w:hAnsi="Times New Roman"/>
          <w:sz w:val="14"/>
          <w:szCs w:val="14"/>
          <w:b w:val="1"/>
          <w:bCs w:val="1"/>
          <w:i w:val="1"/>
          <w:iCs w:val="1"/>
          <w:color w:val="auto"/>
        </w:rPr>
        <w:t>Non-U.S. Holders</w:t>
      </w:r>
      <w:r>
        <w:rPr>
          <w:rFonts w:ascii="Times New Roman" w:cs="Times New Roman" w:eastAsia="Times New Roman" w:hAnsi="Times New Roman"/>
          <w:sz w:val="14"/>
          <w:szCs w:val="14"/>
          <w:color w:val="auto"/>
        </w:rPr>
        <w:t>. Payments of dividends on our capital stock or interest on the operating partnership’s debt securities generally will not be subject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capital stock or interest on the operating partnership’s debt securities paid to the non-U.S. holder, regardless of whether such distributions constitute a dividend or whether any tax was actually withheld. In addition, proceeds of the sale or other taxable disposition of such stock or debt securities (including a retirement or redemption of a debt security)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such stock or debt securities conducted through a non-U.S. office of a non-U.S. broker generally will not be subject to backup withholding or information reporting.</w:t>
      </w:r>
    </w:p>
    <w:p>
      <w:pPr>
        <w:spacing w:after="0" w:line="150"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25" w:lineRule="exact"/>
        <w:rPr>
          <w:sz w:val="20"/>
          <w:szCs w:val="20"/>
          <w:color w:val="auto"/>
        </w:rPr>
      </w:pPr>
    </w:p>
    <w:p>
      <w:pPr>
        <w:ind w:left="1320" w:right="239"/>
        <w:spacing w:after="0" w:line="286" w:lineRule="auto"/>
        <w:rPr>
          <w:sz w:val="20"/>
          <w:szCs w:val="20"/>
          <w:color w:val="auto"/>
        </w:rPr>
      </w:pPr>
      <w:r>
        <w:rPr>
          <w:rFonts w:ascii="Times New Roman" w:cs="Times New Roman" w:eastAsia="Times New Roman" w:hAnsi="Times New Roman"/>
          <w:sz w:val="14"/>
          <w:szCs w:val="14"/>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Medicare Contribution Tax on Unearned Income</w:t>
      </w:r>
    </w:p>
    <w:p>
      <w:pPr>
        <w:spacing w:after="0" w:line="95" w:lineRule="exact"/>
        <w:rPr>
          <w:sz w:val="20"/>
          <w:szCs w:val="20"/>
          <w:color w:val="auto"/>
        </w:rPr>
      </w:pPr>
    </w:p>
    <w:p>
      <w:pPr>
        <w:ind w:left="1320" w:right="259"/>
        <w:spacing w:after="0" w:line="264" w:lineRule="auto"/>
        <w:rPr>
          <w:sz w:val="20"/>
          <w:szCs w:val="20"/>
          <w:color w:val="auto"/>
        </w:rPr>
      </w:pPr>
      <w:r>
        <w:rPr>
          <w:rFonts w:ascii="Times New Roman" w:cs="Times New Roman" w:eastAsia="Times New Roman" w:hAnsi="Times New Roman"/>
          <w:sz w:val="14"/>
          <w:szCs w:val="14"/>
          <w:color w:val="auto"/>
        </w:rPr>
        <w:t>Certain U.S. holders that are individuals, estates or trusts are required to pay an additional 3.8% tax on, among other things, dividends on stock, interest on debt obligations, and capital gains from the sale or other disposition of stock or debt obligations, subject to certain limitations. U.S. holders should consult their tax advisors regarding the effect, if any, of these rules on their ownership and disposition of our capital stock or the operating partnership’s debt securities.</w:t>
      </w:r>
    </w:p>
    <w:p>
      <w:pPr>
        <w:spacing w:after="0" w:line="222"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Additional Withholding Tax on Payments Made to Foreign Accounts</w:t>
      </w:r>
    </w:p>
    <w:p>
      <w:pPr>
        <w:spacing w:after="0" w:line="95" w:lineRule="exact"/>
        <w:rPr>
          <w:sz w:val="20"/>
          <w:szCs w:val="20"/>
          <w:color w:val="auto"/>
        </w:rPr>
      </w:pPr>
    </w:p>
    <w:p>
      <w:pPr>
        <w:ind w:left="1320" w:right="199"/>
        <w:spacing w:after="0" w:line="255" w:lineRule="auto"/>
        <w:rPr>
          <w:sz w:val="20"/>
          <w:szCs w:val="20"/>
          <w:color w:val="auto"/>
        </w:rPr>
      </w:pPr>
      <w:r>
        <w:rPr>
          <w:rFonts w:ascii="Times New Roman" w:cs="Times New Roman" w:eastAsia="Times New Roman" w:hAnsi="Times New Roman"/>
          <w:sz w:val="14"/>
          <w:szCs w:val="14"/>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our capital stock, interest on the operating partnership’s debt securities, or (subject to the proposed Treasury Regulations discussed below) gross proceeds from the sale or other disposition of our capital stock or the operating partnership’s debt securities, in each case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w:t>
      </w:r>
    </w:p>
    <w:p>
      <w:pPr>
        <w:spacing w:after="0" w:line="4" w:lineRule="exact"/>
        <w:rPr>
          <w:sz w:val="20"/>
          <w:szCs w:val="20"/>
          <w:color w:val="auto"/>
        </w:rPr>
      </w:pPr>
    </w:p>
    <w:p>
      <w:pPr>
        <w:ind w:left="1320" w:right="299" w:hanging="1"/>
        <w:spacing w:after="0" w:line="255" w:lineRule="auto"/>
        <w:tabs>
          <w:tab w:leader="none" w:pos="152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foreign financial institution or non-financial foreign entity otherwise qualifies for an exemption from these rules. If the payee is a foreign financial institution and is subject to the diligence and reporting requirements in clause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47" w:lineRule="exact"/>
        <w:rPr>
          <w:sz w:val="20"/>
          <w:szCs w:val="20"/>
          <w:color w:val="auto"/>
        </w:rPr>
      </w:pPr>
    </w:p>
    <w:p>
      <w:pPr>
        <w:ind w:left="1320" w:right="359"/>
        <w:spacing w:after="0" w:line="286" w:lineRule="auto"/>
        <w:rPr>
          <w:sz w:val="20"/>
          <w:szCs w:val="20"/>
          <w:color w:val="auto"/>
        </w:rPr>
      </w:pPr>
      <w:r>
        <w:rPr>
          <w:rFonts w:ascii="Times New Roman" w:cs="Times New Roman" w:eastAsia="Times New Roman" w:hAnsi="Times New Roman"/>
          <w:sz w:val="14"/>
          <w:szCs w:val="14"/>
          <w:color w:val="auto"/>
        </w:rPr>
        <w:t>Under the applicable Treasury Regulations and administrative guidance, withholding under FATCA generally applies to payments of dividends on our capital stock or interest on the operating partnership’s debt securities.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78</w:t>
      </w:r>
    </w:p>
    <w:p>
      <w:pPr>
        <w:sectPr>
          <w:pgSz w:w="11900" w:h="16838" w:orient="portrait"/>
          <w:cols w:equalWidth="0" w:num="1">
            <w:col w:w="10159"/>
          </w:cols>
          <w:pgMar w:left="300" w:top="388"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199"/>
        <w:spacing w:after="0" w:line="261" w:lineRule="auto"/>
        <w:rPr>
          <w:sz w:val="20"/>
          <w:szCs w:val="20"/>
          <w:color w:val="auto"/>
        </w:rPr>
      </w:pPr>
      <w:r>
        <w:rPr>
          <w:rFonts w:ascii="Times New Roman" w:cs="Times New Roman" w:eastAsia="Times New Roman" w:hAnsi="Times New Roman"/>
          <w:sz w:val="14"/>
          <w:szCs w:val="14"/>
          <w:color w:val="auto"/>
        </w:rPr>
        <w:t>While withholding under FATCA would have applied also to payments of gross proceeds from the sale or other disposition of stock or debt securities on or after January 1, 2019, proposed Treasury Regulations eliminate FATCA withholding on payments of gross proceeds entirely. Taxpayers generally may rely on these proposed Treasury Regulations until final Treasury Regulations are issued. Because we may not know the extent to which a distribution is a dividend for U.S. federal income tax purposes at the time it is made, for purposes of these withholding rules we may treat the entire distribution as a dividend.</w:t>
      </w:r>
    </w:p>
    <w:p>
      <w:pPr>
        <w:spacing w:after="0" w:line="142" w:lineRule="exact"/>
        <w:rPr>
          <w:sz w:val="20"/>
          <w:szCs w:val="20"/>
          <w:color w:val="auto"/>
        </w:rPr>
      </w:pPr>
    </w:p>
    <w:p>
      <w:pPr>
        <w:ind w:left="1320" w:right="219"/>
        <w:spacing w:after="0" w:line="286" w:lineRule="auto"/>
        <w:rPr>
          <w:sz w:val="20"/>
          <w:szCs w:val="20"/>
          <w:color w:val="auto"/>
        </w:rPr>
      </w:pPr>
      <w:r>
        <w:rPr>
          <w:rFonts w:ascii="Times New Roman" w:cs="Times New Roman" w:eastAsia="Times New Roman" w:hAnsi="Times New Roman"/>
          <w:sz w:val="14"/>
          <w:szCs w:val="14"/>
          <w:color w:val="auto"/>
        </w:rPr>
        <w:t>Prospective investors should consult their tax advisors regarding the potential application of withholding under FATCA to their investment in our capital stock or the operating partnership’s debt securities.</w:t>
      </w:r>
    </w:p>
    <w:p>
      <w:pPr>
        <w:spacing w:after="0" w:line="208"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b w:val="1"/>
          <w:bCs w:val="1"/>
          <w:color w:val="auto"/>
        </w:rPr>
        <w:t>Other Tax Consequences</w:t>
      </w:r>
    </w:p>
    <w:p>
      <w:pPr>
        <w:spacing w:after="0" w:line="95" w:lineRule="exact"/>
        <w:rPr>
          <w:sz w:val="20"/>
          <w:szCs w:val="20"/>
          <w:color w:val="auto"/>
        </w:rPr>
      </w:pPr>
    </w:p>
    <w:p>
      <w:pPr>
        <w:ind w:left="1320" w:right="359"/>
        <w:spacing w:after="0" w:line="264" w:lineRule="auto"/>
        <w:rPr>
          <w:sz w:val="20"/>
          <w:szCs w:val="20"/>
          <w:color w:val="auto"/>
        </w:rPr>
      </w:pPr>
      <w:r>
        <w:rPr>
          <w:rFonts w:ascii="Times New Roman" w:cs="Times New Roman" w:eastAsia="Times New Roman" w:hAnsi="Times New Roman"/>
          <w:sz w:val="14"/>
          <w:szCs w:val="14"/>
          <w:color w:val="auto"/>
        </w:rPr>
        <w:t>State, local and non-U.S. income tax laws may differ substantially from the corresponding U.S. federal income tax laws, and this discussion does not purport to describe any aspect of the tax laws of any state, local or non-U.S. jurisdiction, or any U.S. federal tax other than income tax. You should consult your tax advisors regarding the effect of state, local and non-U.S. tax laws with respect to our tax treatment as a REIT and on an investment in our capital stock or our operating partnership’s debt securities.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79</w:t>
      </w:r>
    </w:p>
    <w:p>
      <w:pPr>
        <w:sectPr>
          <w:pgSz w:w="11900" w:h="16838" w:orient="portrait"/>
          <w:cols w:equalWidth="0" w:num="1">
            <w:col w:w="10159"/>
          </w:cols>
          <w:pgMar w:left="300" w:top="388"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SECURITYHOLDERS</w:t>
      </w:r>
    </w:p>
    <w:p>
      <w:pPr>
        <w:spacing w:after="0" w:line="180" w:lineRule="exact"/>
        <w:rPr>
          <w:sz w:val="20"/>
          <w:szCs w:val="20"/>
          <w:color w:val="auto"/>
        </w:rPr>
      </w:pPr>
    </w:p>
    <w:p>
      <w:pPr>
        <w:ind w:left="1320" w:right="239"/>
        <w:spacing w:after="0" w:line="264" w:lineRule="auto"/>
        <w:rPr>
          <w:sz w:val="20"/>
          <w:szCs w:val="20"/>
          <w:color w:val="auto"/>
        </w:rPr>
      </w:pPr>
      <w:r>
        <w:rPr>
          <w:rFonts w:ascii="Times New Roman" w:cs="Times New Roman" w:eastAsia="Times New Roman" w:hAnsi="Times New Roman"/>
          <w:sz w:val="14"/>
          <w:szCs w:val="14"/>
          <w:color w:val="auto"/>
        </w:rPr>
        <w:t>If the registration statement of which this prospectus forms a part is used by selling securityholders for the resale of any securities registered thereunder pursuant to a registration rights agreement to be entered into by us with such selling securityholders or otherwise, information about such selling securityholders, their beneficial ownership of the securities and their relationship with us will be set forth in a prospectus supplement, in a post-effective amendment, or in filings we make with the SEC under the Exchange Act that are incorporated by reference to such registration statement.</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80</w:t>
      </w:r>
    </w:p>
    <w:p>
      <w:pPr>
        <w:sectPr>
          <w:pgSz w:w="11900" w:h="16838" w:orient="portrait"/>
          <w:cols w:equalWidth="0" w:num="1">
            <w:col w:w="10159"/>
          </w:cols>
          <w:pgMar w:left="300" w:top="388" w:right="1440"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0" w:lineRule="exact"/>
        <w:rPr>
          <w:sz w:val="20"/>
          <w:szCs w:val="20"/>
          <w:color w:val="auto"/>
        </w:rPr>
      </w:pPr>
    </w:p>
    <w:p>
      <w:pPr>
        <w:jc w:val="both"/>
        <w:ind w:left="1320" w:right="339"/>
        <w:spacing w:after="0" w:line="269" w:lineRule="auto"/>
        <w:rPr>
          <w:sz w:val="20"/>
          <w:szCs w:val="20"/>
          <w:color w:val="auto"/>
        </w:rPr>
      </w:pPr>
      <w:r>
        <w:rPr>
          <w:rFonts w:ascii="Times New Roman" w:cs="Times New Roman" w:eastAsia="Times New Roman" w:hAnsi="Times New Roman"/>
          <w:sz w:val="14"/>
          <w:szCs w:val="14"/>
          <w:color w:val="auto"/>
        </w:rPr>
        <w:t>We, or selling securityholders, may sell the securities domestically or abroad to one or more underwriters for public offering and sale by them or may sell the securities to investors directly or through dealers or agents, or through a combination of methods. Any underwriter, dealer or agent involved in the offer and sale of the securities will be named in the applicable prospectus supplement.</w:t>
      </w:r>
    </w:p>
    <w:p>
      <w:pPr>
        <w:spacing w:after="0" w:line="13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Underwriters may offer and sell the securities at: (i) a fixed price or prices, which may be changed, (ii) market prices prevailing at the time of sale,</w:t>
      </w:r>
    </w:p>
    <w:p>
      <w:pPr>
        <w:spacing w:after="0" w:line="23" w:lineRule="exact"/>
        <w:rPr>
          <w:sz w:val="20"/>
          <w:szCs w:val="20"/>
          <w:color w:val="auto"/>
        </w:rPr>
      </w:pPr>
    </w:p>
    <w:p>
      <w:pPr>
        <w:ind w:left="1320" w:right="219" w:hanging="1"/>
        <w:spacing w:after="0" w:line="255" w:lineRule="auto"/>
        <w:tabs>
          <w:tab w:leader="none" w:pos="1567"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prices related to the prevailing market prices at the time of sale or (iv) negotiated prices. We also may, from time to time, authorize underwriters acting as our agents to offer and sell the securities upon the terms and conditions as are set forth in the applicable prospectus supplement. In connection with the sale of securities, underwriters may be deemed to have received compensation from us in the form of underwriting discounts or commissions and may also receive commissions from purchasers of securities for whom they may act as agent. Underwriters may sell securities to or through dealers, and the dealers may receive compensation in the form of discounts, concessions or commissions from the underwriters and/or commissions from the purchasers for whom they may act as agent.</w:t>
      </w:r>
    </w:p>
    <w:p>
      <w:pPr>
        <w:spacing w:after="0" w:line="147" w:lineRule="exact"/>
        <w:rPr>
          <w:sz w:val="20"/>
          <w:szCs w:val="20"/>
          <w:color w:val="auto"/>
        </w:rPr>
      </w:pPr>
    </w:p>
    <w:p>
      <w:pPr>
        <w:ind w:left="1320" w:right="199"/>
        <w:spacing w:after="0" w:line="259" w:lineRule="auto"/>
        <w:rPr>
          <w:sz w:val="20"/>
          <w:szCs w:val="20"/>
          <w:color w:val="auto"/>
        </w:rPr>
      </w:pPr>
      <w:r>
        <w:rPr>
          <w:rFonts w:ascii="Times New Roman" w:cs="Times New Roman" w:eastAsia="Times New Roman" w:hAnsi="Times New Roman"/>
          <w:sz w:val="14"/>
          <w:szCs w:val="14"/>
          <w:color w:val="auto"/>
        </w:rPr>
        <w:t>Any underwriting compensation paid by us to underwriters, dealers or agents in connection with the offering of securities, and any discounts, concessions or commissions allowed by underwriters to participating dealers, will be set forth in the applicable prospectus supplement. Dealers and agents participating in the distribution of the securities may be deemed to be underwriters, and any discounts and commissions received by them and any profit realized by them on resale of the securities may be deemed to be underwriting discounts and commissions under the Securities Act. Underwriters, dealers and agents may be entitled, under agreements entered into with us and our operating partnership, to indemnification against and contribution toward civil liabilities, including liabilities under the Securities Act. We will describe any indemnification agreement in the applicable prospectus supplement.</w:t>
      </w:r>
    </w:p>
    <w:p>
      <w:pPr>
        <w:spacing w:after="0" w:line="314" w:lineRule="exact"/>
        <w:rPr>
          <w:sz w:val="20"/>
          <w:szCs w:val="20"/>
          <w:color w:val="auto"/>
        </w:rPr>
      </w:pPr>
    </w:p>
    <w:p>
      <w:pPr>
        <w:ind w:left="1320" w:right="359"/>
        <w:spacing w:after="0" w:line="258" w:lineRule="auto"/>
        <w:rPr>
          <w:sz w:val="20"/>
          <w:szCs w:val="20"/>
          <w:color w:val="auto"/>
        </w:rPr>
      </w:pPr>
      <w:r>
        <w:rPr>
          <w:rFonts w:ascii="Times New Roman" w:cs="Times New Roman" w:eastAsia="Times New Roman" w:hAnsi="Times New Roman"/>
          <w:sz w:val="14"/>
          <w:szCs w:val="14"/>
          <w:color w:val="auto"/>
        </w:rPr>
        <w:t>Unless we specify otherwise in the applicable prospectus supplement, any series of securities issued hereunder will be a new issue with no established trading market (other than the common stock, which is listed on the NYSE). If the company sells any shares of the common stock pursuant to a prospectus supplement, such shares will be listed on the NYSE, subject to official notice of issuance. We may elect to list any other securities issued hereunder on any exchange, but we are not obligated to do so. Any underwriters or agents to or through whom such securities are sold by us or our operating partnership for public offering and sale may make a market in such securities, but such underwriters or agents will not be obligated to do so and may discontinue any market making at any time without notice. We cannot assure you as to the liquidity of the trading market for any such securities.</w:t>
      </w:r>
    </w:p>
    <w:p>
      <w:pPr>
        <w:spacing w:after="0" w:line="145" w:lineRule="exact"/>
        <w:rPr>
          <w:sz w:val="20"/>
          <w:szCs w:val="20"/>
          <w:color w:val="auto"/>
        </w:rPr>
      </w:pPr>
    </w:p>
    <w:p>
      <w:pPr>
        <w:ind w:left="1320" w:right="239"/>
        <w:spacing w:after="0" w:line="258" w:lineRule="auto"/>
        <w:rPr>
          <w:sz w:val="20"/>
          <w:szCs w:val="20"/>
          <w:color w:val="auto"/>
        </w:rPr>
      </w:pPr>
      <w:r>
        <w:rPr>
          <w:rFonts w:ascii="Times New Roman" w:cs="Times New Roman" w:eastAsia="Times New Roman" w:hAnsi="Times New Roman"/>
          <w:sz w:val="14"/>
          <w:szCs w:val="14"/>
          <w:color w:val="auto"/>
        </w:rPr>
        <w:t>If indicated in the applicable prospectus supplement, we may authorize underwriters or other persons acting as our agents to solicit offers by institutions or other suitable purchasers to purchase the securities from us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45" w:lineRule="exact"/>
        <w:rPr>
          <w:sz w:val="20"/>
          <w:szCs w:val="20"/>
          <w:color w:val="auto"/>
        </w:rPr>
      </w:pPr>
    </w:p>
    <w:p>
      <w:pPr>
        <w:ind w:left="1320" w:right="239"/>
        <w:spacing w:after="0" w:line="261" w:lineRule="auto"/>
        <w:rPr>
          <w:sz w:val="20"/>
          <w:szCs w:val="20"/>
          <w:color w:val="auto"/>
        </w:rPr>
      </w:pPr>
      <w:r>
        <w:rPr>
          <w:rFonts w:ascii="Times New Roman" w:cs="Times New Roman" w:eastAsia="Times New Roman" w:hAnsi="Times New Roman"/>
          <w:sz w:val="14"/>
          <w:szCs w:val="14"/>
          <w:color w:val="auto"/>
        </w:rPr>
        <w:t>To facilitate the offering of the securities, certain persons participating in the offering may engage in transactions that stabilize, maintain, or otherwise affect the price of the securities. This may include over-allotments or short sales of the securities, which involves the sale by persons participating in the offering of more securities than we sold to them. In these circumstances, these persons would cover the over-allotments or short positions by making purchases in the open market or by exercising their over-allotment option. In addition, these persons may stabilize or maintain the price of the securities by bidding for or purchasing securities in the open market or by</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81</w:t>
      </w:r>
    </w:p>
    <w:p>
      <w:pPr>
        <w:sectPr>
          <w:pgSz w:w="11900" w:h="16838" w:orient="portrait"/>
          <w:cols w:equalWidth="0" w:num="1">
            <w:col w:w="10159"/>
          </w:cols>
          <w:pgMar w:left="300" w:top="388" w:right="1440"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4" w:lineRule="exact"/>
        <w:rPr>
          <w:sz w:val="20"/>
          <w:szCs w:val="20"/>
          <w:color w:val="auto"/>
        </w:rPr>
      </w:pPr>
    </w:p>
    <w:p>
      <w:pPr>
        <w:ind w:left="1320" w:right="559"/>
        <w:spacing w:after="0" w:line="269" w:lineRule="auto"/>
        <w:rPr>
          <w:sz w:val="20"/>
          <w:szCs w:val="20"/>
          <w:color w:val="auto"/>
        </w:rPr>
      </w:pPr>
      <w:r>
        <w:rPr>
          <w:rFonts w:ascii="Times New Roman" w:cs="Times New Roman" w:eastAsia="Times New Roman" w:hAnsi="Times New Roman"/>
          <w:sz w:val="14"/>
          <w:szCs w:val="14"/>
          <w:color w:val="auto"/>
        </w:rPr>
        <w:t>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37" w:lineRule="exact"/>
        <w:rPr>
          <w:sz w:val="20"/>
          <w:szCs w:val="20"/>
          <w:color w:val="auto"/>
        </w:rPr>
      </w:pPr>
    </w:p>
    <w:p>
      <w:pPr>
        <w:ind w:left="1320" w:right="279"/>
        <w:spacing w:after="0" w:line="286" w:lineRule="auto"/>
        <w:rPr>
          <w:sz w:val="20"/>
          <w:szCs w:val="20"/>
          <w:color w:val="auto"/>
        </w:rPr>
      </w:pPr>
      <w:r>
        <w:rPr>
          <w:rFonts w:ascii="Times New Roman" w:cs="Times New Roman" w:eastAsia="Times New Roman" w:hAnsi="Times New Roman"/>
          <w:sz w:val="14"/>
          <w:szCs w:val="14"/>
          <w:color w:val="auto"/>
        </w:rPr>
        <w:t>The underwriters, dealers and agents and their affiliates may be customers of, engage in transactions with and perform services for us and our operating partnership in the ordinary course of business.</w:t>
      </w:r>
    </w:p>
    <w:p>
      <w:pPr>
        <w:spacing w:after="0" w:line="7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82</w:t>
      </w:r>
    </w:p>
    <w:p>
      <w:pPr>
        <w:sectPr>
          <w:pgSz w:w="11900" w:h="16838" w:orient="portrait"/>
          <w:cols w:equalWidth="0" w:num="1">
            <w:col w:w="10159"/>
          </w:cols>
          <w:pgMar w:left="300" w:top="38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0" w:lineRule="exact"/>
        <w:rPr>
          <w:sz w:val="20"/>
          <w:szCs w:val="20"/>
          <w:color w:val="auto"/>
        </w:rPr>
      </w:pPr>
    </w:p>
    <w:p>
      <w:pPr>
        <w:ind w:left="1320" w:right="419"/>
        <w:spacing w:after="0" w:line="264" w:lineRule="auto"/>
        <w:rPr>
          <w:sz w:val="20"/>
          <w:szCs w:val="20"/>
          <w:color w:val="auto"/>
        </w:rPr>
      </w:pPr>
      <w:r>
        <w:rPr>
          <w:rFonts w:ascii="Times New Roman" w:cs="Times New Roman" w:eastAsia="Times New Roman" w:hAnsi="Times New Roman"/>
          <w:sz w:val="14"/>
          <w:szCs w:val="14"/>
          <w:color w:val="auto"/>
        </w:rPr>
        <w:t>Venable LLP, Baltimore, Maryland, has issued an opinion to us regarding certain matters of Maryland law, including the validity of the securities covered by this prospectus. Latham &amp; Watkins LLP, Los Angeles, California has issued an opinion to us regarding certain matters with respect to the validity of the debt securities and guarantees covered by this prospectus and an opinion regarding certain tax matters described under “United States Federal Income Tax Considerations.”</w:t>
      </w:r>
    </w:p>
    <w:p>
      <w:pPr>
        <w:spacing w:after="0" w:line="8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83</w:t>
      </w:r>
    </w:p>
    <w:p>
      <w:pPr>
        <w:sectPr>
          <w:pgSz w:w="11900" w:h="16838" w:orient="portrait"/>
          <w:cols w:equalWidth="0" w:num="1">
            <w:col w:w="10159"/>
          </w:cols>
          <w:pgMar w:left="300" w:top="388" w:right="1440"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5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320" w:right="339"/>
        <w:spacing w:after="0" w:line="264"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Inc. and subsidiaries as of December 31, 2025 and 2024, and for each of the years in the three-year period ended December 31, 2025, and management’s assessment of the effectiveness of internal control over financial reporting as of December 31, 2025, have been incorporated by reference herein in reliance upon the reports of KPMG LLP, independent registered public accounting firm, incorporated by reference herein, and upon the authority of said firm as experts in accounting and auditing.</w:t>
      </w:r>
    </w:p>
    <w:p>
      <w:pPr>
        <w:spacing w:after="0" w:line="140" w:lineRule="exact"/>
        <w:rPr>
          <w:sz w:val="20"/>
          <w:szCs w:val="20"/>
          <w:color w:val="auto"/>
        </w:rPr>
      </w:pPr>
    </w:p>
    <w:p>
      <w:pPr>
        <w:ind w:left="1320" w:right="339"/>
        <w:spacing w:after="0" w:line="269" w:lineRule="auto"/>
        <w:rPr>
          <w:sz w:val="20"/>
          <w:szCs w:val="20"/>
          <w:color w:val="auto"/>
        </w:rPr>
      </w:pPr>
      <w:r>
        <w:rPr>
          <w:rFonts w:ascii="Times New Roman" w:cs="Times New Roman" w:eastAsia="Times New Roman" w:hAnsi="Times New Roman"/>
          <w:sz w:val="14"/>
          <w:szCs w:val="14"/>
          <w:color w:val="auto"/>
        </w:rPr>
        <w:t>The consolidated financial statements of Digital Realty Trust, L.P. and subsidiaries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w:t>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84</w:t>
      </w:r>
    </w:p>
    <w:p>
      <w:pPr>
        <w:sectPr>
          <w:pgSz w:w="11900" w:h="16838" w:orient="portrait"/>
          <w:cols w:equalWidth="0" w:num="1">
            <w:col w:w="10159"/>
          </w:cols>
          <w:pgMar w:left="300" w:top="388" w:right="1440"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198120</wp:posOffset>
            </wp:positionV>
            <wp:extent cx="549275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5492750" cy="1333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238760</wp:posOffset>
            </wp:positionV>
            <wp:extent cx="549275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3011805</wp:posOffset>
            </wp:positionH>
            <wp:positionV relativeFrom="paragraph">
              <wp:posOffset>514985</wp:posOffset>
            </wp:positionV>
            <wp:extent cx="1144270" cy="3968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1144270" cy="39687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33"/>
          <w:szCs w:val="33"/>
          <w:b w:val="1"/>
          <w:bCs w:val="1"/>
          <w:color w:val="auto"/>
        </w:rPr>
        <w:t>Digital Realty Trust, Inc.</w:t>
      </w:r>
    </w:p>
    <w:p>
      <w:pPr>
        <w:spacing w:after="0" w:line="361"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3"/>
          <w:szCs w:val="23"/>
          <w:b w:val="1"/>
          <w:bCs w:val="1"/>
          <w:color w:val="auto"/>
        </w:rPr>
        <w:t>3,425,031 Shares</w:t>
      </w:r>
    </w:p>
    <w:p>
      <w:pPr>
        <w:spacing w:after="0" w:line="348"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325755</wp:posOffset>
            </wp:positionV>
            <wp:extent cx="115760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7"/>
          <w:szCs w:val="17"/>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3004820</wp:posOffset>
            </wp:positionH>
            <wp:positionV relativeFrom="paragraph">
              <wp:posOffset>187960</wp:posOffset>
            </wp:positionV>
            <wp:extent cx="11576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1157605"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2186940</wp:posOffset>
            </wp:positionV>
            <wp:extent cx="549275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837565</wp:posOffset>
            </wp:positionH>
            <wp:positionV relativeFrom="paragraph">
              <wp:posOffset>2240915</wp:posOffset>
            </wp:positionV>
            <wp:extent cx="549275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5492750" cy="13335"/>
                    </a:xfrm>
                    <a:prstGeom prst="rect">
                      <a:avLst/>
                    </a:prstGeom>
                    <a:noFill/>
                  </pic:spPr>
                </pic:pic>
              </a:graphicData>
            </a:graphic>
          </wp:anchor>
        </w:drawing>
      </w:r>
    </w:p>
    <w:p>
      <w:pPr>
        <w:sectPr>
          <w:pgSz w:w="11900" w:h="16838" w:orient="portrait"/>
          <w:cols w:equalWidth="0" w:num="1">
            <w:col w:w="10159"/>
          </w:cols>
          <w:pgMar w:left="300" w:top="388" w:right="1440" w:bottom="1440" w:gutter="0" w:footer="0" w:header="0"/>
          <w:type w:val="continuous"/>
        </w:sectPr>
      </w:pPr>
    </w:p>
    <w:bookmarkStart w:id="106" w:name="page107"/>
    <w:bookmarkEnd w:id="106"/>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DIGITAL REALTY TRUST,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16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91" w:lineRule="exact"/>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720" w:type="dxa"/>
            <w:vAlign w:val="bottom"/>
            <w:shd w:val="clear" w:color="auto" w:fill="9ADAF6"/>
          </w:tcPr>
          <w:p>
            <w:pPr>
              <w:spacing w:after="0" w:line="191"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1"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6"/>
                <w:szCs w:val="16"/>
                <w:color w:val="auto"/>
              </w:rPr>
            </w:pPr>
          </w:p>
        </w:tc>
        <w:tc>
          <w:tcPr>
            <w:tcW w:w="12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$0.01</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3,425,031</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$ 172.28</w:t>
            </w:r>
          </w:p>
        </w:tc>
        <w:tc>
          <w:tcPr>
            <w:tcW w:w="20" w:type="dxa"/>
            <w:vAlign w:val="bottom"/>
          </w:tcPr>
          <w:p>
            <w:pPr>
              <w:spacing w:after="0"/>
              <w:rPr>
                <w:sz w:val="8"/>
                <w:szCs w:val="8"/>
                <w:color w:val="auto"/>
              </w:rPr>
            </w:pPr>
          </w:p>
        </w:tc>
        <w:tc>
          <w:tcPr>
            <w:tcW w:w="12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$ 51,335.60</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590,064,340.68</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$ 51,335.60</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590,064,340.68</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$ 51,335.60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20" w:hanging="183"/>
        <w:spacing w:after="0" w:line="232" w:lineRule="auto"/>
        <w:tabs>
          <w:tab w:leader="none" w:pos="220" w:val="left"/>
        </w:tabs>
        <w:numPr>
          <w:ilvl w:val="0"/>
          <w:numId w:val="71"/>
        </w:numPr>
        <w:rPr>
          <w:rFonts w:ascii="Arial" w:cs="Arial" w:eastAsia="Arial" w:hAnsi="Arial"/>
          <w:sz w:val="21"/>
          <w:szCs w:val="21"/>
          <w:color w:val="auto"/>
          <w:vertAlign w:val="superscript"/>
        </w:rPr>
      </w:pPr>
      <w:r>
        <w:rPr>
          <w:rFonts w:ascii="Arial" w:cs="Arial" w:eastAsia="Arial" w:hAnsi="Arial"/>
          <w:sz w:val="17"/>
          <w:szCs w:val="17"/>
          <w:color w:val="auto"/>
        </w:rPr>
        <w:t>1) Pursuant to Rule 416 under the Securities Act of 1933, as amended (the "Securities Act"), Registration Statement on Form S-3ASR (Registration Nos. 333-293494) also covers any additional securities issuable in connection with any stock split, stock dividend, or similar transaction with respect to the securities being registered pursuant to that registration statement. 2) Estimated solely for purposes of calculating the registration fee pursuant to Rule 457(c) under the Securities Act, based on average of high and low price per share of the common stock as reported on the New York Stock Exchange on October 23, 2026. 3) The registration fee is calculated in accordance with Rule 457(r) under the Securities Act and represents deferred payment of the registration fees in connection with the registrant's Registration Statement on Form S-3ASR (Registration Nos. 333-293494) paid with the filing of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61595</wp:posOffset>
            </wp:positionV>
            <wp:extent cx="714692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3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vMerge w:val="restart"/>
            <w:shd w:val="clear" w:color="auto" w:fill="9ADAF6"/>
          </w:tcPr>
          <w:p>
            <w:pPr>
              <w:jc w:val="center"/>
              <w:ind w:right="20"/>
              <w:spacing w:after="0"/>
              <w:rPr>
                <w:sz w:val="20"/>
                <w:szCs w:val="20"/>
                <w:color w:val="auto"/>
              </w:rPr>
            </w:pPr>
            <w:r>
              <w:rPr>
                <w:rFonts w:ascii="Arial" w:cs="Arial" w:eastAsia="Arial" w:hAnsi="Arial"/>
                <w:sz w:val="17"/>
                <w:szCs w:val="17"/>
                <w:b w:val="1"/>
                <w:bCs w:val="1"/>
                <w:color w:val="auto"/>
                <w:w w:val="95"/>
              </w:rPr>
              <w:t>Fee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Registrant or Filer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14"/>
                <w:szCs w:val="14"/>
                <w:color w:val="auto"/>
              </w:rPr>
            </w:pPr>
          </w:p>
        </w:tc>
        <w:tc>
          <w:tcPr>
            <w:tcW w:w="7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4"/>
                <w:szCs w:val="14"/>
                <w:color w:val="auto"/>
              </w:rPr>
            </w:pPr>
          </w:p>
        </w:tc>
        <w:tc>
          <w:tcPr>
            <w:tcW w:w="54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500" w:type="dxa"/>
            <w:vAlign w:val="bottom"/>
            <w:gridSpan w:val="3"/>
            <w:vMerge w:val="continue"/>
            <w:shd w:val="clear" w:color="auto" w:fill="9ADAF6"/>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4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4"/>
                <w:szCs w:val="14"/>
                <w:color w:val="auto"/>
              </w:rPr>
            </w:pPr>
          </w:p>
        </w:tc>
        <w:tc>
          <w:tcPr>
            <w:tcW w:w="92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4"/>
                <w:szCs w:val="14"/>
                <w:color w:val="auto"/>
              </w:rPr>
            </w:pPr>
          </w:p>
        </w:tc>
        <w:tc>
          <w:tcPr>
            <w:tcW w:w="980" w:type="dxa"/>
            <w:vAlign w:val="bottom"/>
            <w:gridSpan w:val="3"/>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14"/>
                <w:szCs w:val="14"/>
                <w:color w:val="auto"/>
              </w:rPr>
            </w:pPr>
          </w:p>
        </w:tc>
        <w:tc>
          <w:tcPr>
            <w:tcW w:w="66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55"/>
              <w:spacing w:after="0" w:line="191"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Filing</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50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7"/>
              </w:rPr>
              <w:t>Offset</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ind w:right="20"/>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Date</w:t>
            </w: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gridSpan w:val="5"/>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5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38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360" w:type="dxa"/>
            <w:vAlign w:val="bottom"/>
            <w:shd w:val="clear" w:color="auto" w:fill="9ADAF6"/>
          </w:tcPr>
          <w:p>
            <w:pPr>
              <w:spacing w:after="0" w:line="20" w:lineRule="exact"/>
              <w:rPr>
                <w:sz w:val="1"/>
                <w:szCs w:val="1"/>
                <w:color w:val="auto"/>
              </w:rPr>
            </w:pPr>
          </w:p>
        </w:tc>
        <w:tc>
          <w:tcPr>
            <w:tcW w:w="20" w:type="dxa"/>
            <w:vAlign w:val="bottom"/>
            <w:shd w:val="clear" w:color="auto" w:fill="9ADAF6"/>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vMerge w:val="continue"/>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continue"/>
            <w:shd w:val="clear" w:color="auto" w:fill="9ADAF6"/>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3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3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60" w:type="dxa"/>
            <w:vAlign w:val="bottom"/>
            <w:gridSpan w:val="15"/>
          </w:tcPr>
          <w:p>
            <w:pPr>
              <w:jc w:val="center"/>
              <w:ind w:left="515"/>
              <w:spacing w:after="0"/>
              <w:rPr>
                <w:sz w:val="20"/>
                <w:szCs w:val="20"/>
                <w:color w:val="auto"/>
              </w:rPr>
            </w:pPr>
            <w:r>
              <w:rPr>
                <w:rFonts w:ascii="Arial" w:cs="Arial" w:eastAsia="Arial" w:hAnsi="Arial"/>
                <w:sz w:val="17"/>
                <w:szCs w:val="17"/>
                <w:b w:val="1"/>
                <w:bCs w:val="1"/>
                <w:color w:val="auto"/>
                <w:w w:val="99"/>
              </w:rPr>
              <w:t>Rules 457(b) and 0-11(a)(2)</w:t>
            </w: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20" w:type="dxa"/>
            <w:vAlign w:val="bottom"/>
            <w:gridSpan w:val="6"/>
          </w:tcPr>
          <w:p>
            <w:pPr>
              <w:jc w:val="center"/>
              <w:ind w:left="175"/>
              <w:spacing w:after="0"/>
              <w:rPr>
                <w:sz w:val="20"/>
                <w:szCs w:val="20"/>
                <w:color w:val="auto"/>
              </w:rPr>
            </w:pPr>
            <w:r>
              <w:rPr>
                <w:rFonts w:ascii="Arial" w:cs="Arial" w:eastAsia="Arial" w:hAnsi="Arial"/>
                <w:sz w:val="17"/>
                <w:szCs w:val="17"/>
                <w:b w:val="1"/>
                <w:bCs w:val="1"/>
                <w:color w:val="auto"/>
              </w:rPr>
              <w:t>Rule 457(p)</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3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4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0"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3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4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3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4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6"/>
            <w:shd w:val="clear" w:color="auto" w:fill="9ADAF6"/>
          </w:tcPr>
          <w:p>
            <w:pPr>
              <w:jc w:val="center"/>
              <w:ind w:left="275"/>
              <w:spacing w:after="0"/>
              <w:rPr>
                <w:sz w:val="20"/>
                <w:szCs w:val="20"/>
                <w:color w:val="auto"/>
              </w:rPr>
            </w:pPr>
            <w:r>
              <w:rPr>
                <w:rFonts w:ascii="Arial" w:cs="Arial" w:eastAsia="Arial" w:hAnsi="Arial"/>
                <w:sz w:val="17"/>
                <w:szCs w:val="17"/>
                <w:b w:val="1"/>
                <w:bCs w:val="1"/>
                <w:color w:val="auto"/>
              </w:rPr>
              <w:t>Amount of</w:t>
            </w:r>
          </w:p>
        </w:tc>
        <w:tc>
          <w:tcPr>
            <w:tcW w:w="3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1880" w:type="dxa"/>
            <w:vAlign w:val="bottom"/>
            <w:gridSpan w:val="5"/>
            <w:shd w:val="clear" w:color="auto" w:fill="9ADAF6"/>
          </w:tcPr>
          <w:p>
            <w:pPr>
              <w:jc w:val="center"/>
              <w:ind w:right="35"/>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720" w:type="dxa"/>
            <w:vAlign w:val="bottom"/>
            <w:tcBorders>
              <w:right w:val="single" w:sz="8" w:color="auto"/>
            </w:tcBorders>
            <w:gridSpan w:val="3"/>
            <w:vMerge w:val="restart"/>
            <w:shd w:val="clear" w:color="auto" w:fill="9ADAF6"/>
          </w:tcPr>
          <w:p>
            <w:pPr>
              <w:jc w:val="center"/>
              <w:ind w:right="24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restart"/>
            <w:shd w:val="clear" w:color="auto" w:fill="9ADAF6"/>
          </w:tcPr>
          <w:p>
            <w:pPr>
              <w:jc w:val="center"/>
              <w:ind w:right="135"/>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720" w:type="dxa"/>
            <w:vAlign w:val="bottom"/>
            <w:tcBorders>
              <w:right w:val="single" w:sz="8" w:color="auto"/>
            </w:tcBorders>
            <w:gridSpan w:val="3"/>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40" w:type="dxa"/>
            <w:vAlign w:val="bottom"/>
            <w:gridSpan w:val="5"/>
            <w:vMerge w:val="restart"/>
            <w:shd w:val="clear" w:color="auto" w:fill="9ADAF6"/>
          </w:tcPr>
          <w:p>
            <w:pPr>
              <w:ind w:left="620"/>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840" w:type="dxa"/>
            <w:vAlign w:val="bottom"/>
            <w:gridSpan w:val="5"/>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8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4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restart"/>
            <w:shd w:val="clear" w:color="auto" w:fill="9ADAF6"/>
          </w:tcPr>
          <w:p>
            <w:pPr>
              <w:jc w:val="center"/>
              <w:ind w:left="275"/>
              <w:spacing w:after="0" w:line="191" w:lineRule="exact"/>
              <w:rPr>
                <w:sz w:val="20"/>
                <w:szCs w:val="20"/>
                <w:color w:val="auto"/>
              </w:rPr>
            </w:pPr>
            <w:r>
              <w:rPr>
                <w:rFonts w:ascii="Arial" w:cs="Arial" w:eastAsia="Arial" w:hAnsi="Arial"/>
                <w:sz w:val="17"/>
                <w:szCs w:val="17"/>
                <w:b w:val="1"/>
                <w:bCs w:val="1"/>
                <w:color w:val="auto"/>
                <w:w w:val="99"/>
              </w:rPr>
              <w:t>Previously</w:t>
            </w: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restart"/>
            <w:shd w:val="clear" w:color="auto" w:fill="9ADAF6"/>
          </w:tcPr>
          <w:p>
            <w:pPr>
              <w:jc w:val="center"/>
              <w:ind w:right="35"/>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6"/>
            <w:vMerge w:val="continue"/>
            <w:shd w:val="clear" w:color="auto" w:fill="9ADAF6"/>
          </w:tcPr>
          <w:p>
            <w:pPr>
              <w:spacing w:after="0"/>
              <w:rPr>
                <w:sz w:val="8"/>
                <w:szCs w:val="8"/>
                <w:color w:val="auto"/>
              </w:rPr>
            </w:pPr>
          </w:p>
        </w:tc>
        <w:tc>
          <w:tcPr>
            <w:tcW w:w="3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188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gridSpan w:val="7"/>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80" w:type="dxa"/>
            <w:vAlign w:val="bottom"/>
            <w:gridSpan w:val="3"/>
            <w:vMerge w:val="restart"/>
            <w:shd w:val="clear" w:color="auto" w:fill="9ADAF6"/>
          </w:tcPr>
          <w:p>
            <w:pPr>
              <w:jc w:val="center"/>
              <w:ind w:right="135"/>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gridSpan w:val="7"/>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3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maximum aggregate offering price of the securities to which the prospectus relates is $590,064,340.68. The prospectus is a final prospectus for</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related offering.</w:t>
      </w:r>
    </w:p>
    <w:p>
      <w:pPr>
        <w:sectPr>
          <w:pgSz w:w="11900" w:h="16838" w:orient="portrait"/>
          <w:cols w:equalWidth="0" w:num="1">
            <w:col w:w="11360"/>
          </w:cols>
          <w:pgMar w:left="300" w:top="142" w:right="239" w:bottom="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
      <w:numFmt w:val="bullet"/>
      <w:start w:val="1"/>
    </w:lvl>
  </w:abstractNum>
  <w:abstractNum w:abstractNumId="1">
    <w:nsid w:val="3804823E"/>
    <w:multiLevelType w:val="hybridMultilevel"/>
    <w:lvl w:ilvl="0">
      <w:lvlJc w:val="left"/>
      <w:lvlText w:val="•"/>
      <w:numFmt w:val="bullet"/>
      <w:start w:val="1"/>
    </w:lvl>
  </w:abstractNum>
  <w:abstractNum w:abstractNumId="2">
    <w:nsid w:val="77465F01"/>
    <w:multiLevelType w:val="hybridMultilevel"/>
    <w:lvl w:ilvl="0">
      <w:lvlJc w:val="left"/>
      <w:lvlText w:val="*"/>
      <w:numFmt w:val="bullet"/>
      <w:start w:val="1"/>
    </w:lvl>
  </w:abstractNum>
  <w:abstractNum w:abstractNumId="3">
    <w:nsid w:val="7724C67E"/>
    <w:multiLevelType w:val="hybridMultilevel"/>
    <w:lvl w:ilvl="0">
      <w:lvlJc w:val="left"/>
      <w:lvlText w:val="(%1)"/>
      <w:numFmt w:val="decimal"/>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
      <w:numFmt w:val="bullet"/>
      <w:start w:val="1"/>
    </w:lvl>
  </w:abstractNum>
  <w:abstractNum w:abstractNumId="6">
    <w:nsid w:val="5E884ADC"/>
    <w:multiLevelType w:val="hybridMultilevel"/>
    <w:lvl w:ilvl="0">
      <w:lvlJc w:val="left"/>
      <w:lvlText w:val="•"/>
      <w:numFmt w:val="bullet"/>
      <w:start w:val="1"/>
    </w:lvl>
  </w:abstractNum>
  <w:abstractNum w:abstractNumId="7">
    <w:nsid w:val="51EAD36B"/>
    <w:multiLevelType w:val="hybridMultilevel"/>
    <w:lvl w:ilvl="0">
      <w:lvlJc w:val="left"/>
      <w:lvlText w:val="•"/>
      <w:numFmt w:val="bullet"/>
      <w:start w:val="1"/>
    </w:lvl>
  </w:abstractNum>
  <w:abstractNum w:abstractNumId="8">
    <w:nsid w:val="2D517796"/>
    <w:multiLevelType w:val="hybridMultilevel"/>
    <w:lvl w:ilvl="0">
      <w:lvlJc w:val="left"/>
      <w:lvlText w:val="•"/>
      <w:numFmt w:val="bullet"/>
      <w:start w:val="1"/>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
      <w:numFmt w:val="bullet"/>
      <w:start w:val="1"/>
    </w:lvl>
  </w:abstractNum>
  <w:abstractNum w:abstractNumId="12">
    <w:nsid w:val="70A64E2A"/>
    <w:multiLevelType w:val="hybridMultilevel"/>
    <w:lvl w:ilvl="0">
      <w:lvlJc w:val="left"/>
      <w:lvlText w:val="•"/>
      <w:numFmt w:val="bullet"/>
      <w:start w:val="1"/>
    </w:lvl>
  </w:abstractNum>
  <w:abstractNum w:abstractNumId="13">
    <w:nsid w:val="6A2342EC"/>
    <w:multiLevelType w:val="hybridMultilevel"/>
    <w:lvl w:ilvl="0">
      <w:lvlJc w:val="left"/>
      <w:lvlText w:val="•"/>
      <w:numFmt w:val="bullet"/>
      <w:start w:val="1"/>
    </w:lvl>
  </w:abstractNum>
  <w:abstractNum w:abstractNumId="14">
    <w:nsid w:val="2A487CB0"/>
    <w:multiLevelType w:val="hybridMultilevel"/>
    <w:lvl w:ilvl="0">
      <w:lvlJc w:val="left"/>
      <w:lvlText w:val="•"/>
      <w:numFmt w:val="bullet"/>
      <w:start w:val="1"/>
    </w:lvl>
  </w:abstractNum>
  <w:abstractNum w:abstractNumId="15">
    <w:nsid w:val="1D4ED43B"/>
    <w:multiLevelType w:val="hybridMultilevel"/>
    <w:lvl w:ilvl="0">
      <w:lvlJc w:val="left"/>
      <w:lvlText w:val="•"/>
      <w:numFmt w:val="bullet"/>
      <w:start w:val="1"/>
    </w:lvl>
  </w:abstractNum>
  <w:abstractNum w:abstractNumId="16">
    <w:nsid w:val="725A06FB"/>
    <w:multiLevelType w:val="hybridMultilevel"/>
    <w:lvl w:ilvl="0">
      <w:lvlJc w:val="left"/>
      <w:lvlText w:val="•"/>
      <w:numFmt w:val="bullet"/>
      <w:start w:val="1"/>
    </w:lvl>
  </w:abstractNum>
  <w:abstractNum w:abstractNumId="17">
    <w:nsid w:val="2CD89A32"/>
    <w:multiLevelType w:val="hybridMultilevel"/>
    <w:lvl w:ilvl="0">
      <w:lvlJc w:val="left"/>
      <w:lvlText w:val="•"/>
      <w:numFmt w:val="bullet"/>
      <w:start w:val="1"/>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
      <w:numFmt w:val="bullet"/>
      <w:start w:val="1"/>
    </w:lvl>
  </w:abstractNum>
  <w:abstractNum w:abstractNumId="21">
    <w:nsid w:val="542289EC"/>
    <w:multiLevelType w:val="hybridMultilevel"/>
    <w:lvl w:ilvl="0">
      <w:lvlJc w:val="left"/>
      <w:lvlText w:val="(%1)"/>
      <w:numFmt w:val="lowerRoman"/>
      <w:start w:val="1"/>
    </w:lvl>
  </w:abstractNum>
  <w:abstractNum w:abstractNumId="22">
    <w:nsid w:val="6DE91B18"/>
    <w:multiLevelType w:val="hybridMultilevel"/>
    <w:lvl w:ilvl="0">
      <w:lvlJc w:val="left"/>
      <w:lvlText w:val="•"/>
      <w:numFmt w:val="bullet"/>
      <w:start w:val="1"/>
    </w:lvl>
  </w:abstractNum>
  <w:abstractNum w:abstractNumId="23">
    <w:nsid w:val="38437FDB"/>
    <w:multiLevelType w:val="hybridMultilevel"/>
    <w:lvl w:ilvl="0">
      <w:lvlJc w:val="left"/>
      <w:lvlText w:val="•"/>
      <w:numFmt w:val="bullet"/>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
      <w:numFmt w:val="bullet"/>
      <w:start w:val="1"/>
    </w:lvl>
  </w:abstractNum>
  <w:abstractNum w:abstractNumId="29">
    <w:nsid w:val="3DC240FB"/>
    <w:multiLevelType w:val="hybridMultilevel"/>
    <w:lvl w:ilvl="0">
      <w:lvlJc w:val="left"/>
      <w:lvlText w:val="•"/>
      <w:numFmt w:val="bullet"/>
      <w:start w:val="1"/>
    </w:lvl>
  </w:abstractNum>
  <w:abstractNum w:abstractNumId="30">
    <w:nsid w:val="1BA026FA"/>
    <w:multiLevelType w:val="hybridMultilevel"/>
    <w:lvl w:ilvl="0">
      <w:lvlJc w:val="left"/>
      <w:lvlText w:val="•"/>
      <w:numFmt w:val="bullet"/>
      <w:start w:val="1"/>
    </w:lvl>
  </w:abstractNum>
  <w:abstractNum w:abstractNumId="31">
    <w:nsid w:val="79A1DEAA"/>
    <w:multiLevelType w:val="hybridMultilevel"/>
    <w:lvl w:ilvl="0">
      <w:lvlJc w:val="left"/>
      <w:lvlText w:val="•"/>
      <w:numFmt w:val="bullet"/>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
      <w:numFmt w:val="bullet"/>
      <w:start w:val="1"/>
    </w:lvl>
  </w:abstractNum>
  <w:abstractNum w:abstractNumId="35">
    <w:nsid w:val="520EEDD1"/>
    <w:multiLevelType w:val="hybridMultilevel"/>
    <w:lvl w:ilvl="0">
      <w:lvlJc w:val="left"/>
      <w:lvlText w:val="•"/>
      <w:numFmt w:val="bullet"/>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
      <w:numFmt w:val="bullet"/>
      <w:start w:val="1"/>
    </w:lvl>
  </w:abstractNum>
  <w:abstractNum w:abstractNumId="38">
    <w:nsid w:val="23F9C13C"/>
    <w:multiLevelType w:val="hybridMultilevel"/>
    <w:lvl w:ilvl="0">
      <w:lvlJc w:val="left"/>
      <w:lvlText w:val="(%1)"/>
      <w:numFmt w:val="lowerRoman"/>
      <w:start w:val="1"/>
    </w:lvl>
    <w:lvl w:ilvl="1">
      <w:lvlJc w:val="left"/>
      <w:lvlText w:val="(%2)"/>
      <w:numFmt w:val="upperLetter"/>
      <w:start w:val="1"/>
    </w:lvl>
    <w:lvl w:ilvl="2">
      <w:lvlJc w:val="left"/>
      <w:lvlText w:val="•"/>
      <w:numFmt w:val="bullet"/>
      <w:start w:val="1"/>
    </w:lvl>
  </w:abstractNum>
  <w:abstractNum w:abstractNumId="39">
    <w:nsid w:val="649BB77C"/>
    <w:multiLevelType w:val="hybridMultilevel"/>
    <w:lvl w:ilvl="0">
      <w:lvlJc w:val="left"/>
      <w:lvlText w:val="(%1)"/>
      <w:numFmt w:val="upperLetter"/>
      <w:start w:val="2"/>
    </w:lvl>
    <w:lvl w:ilvl="1">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lvl w:ilvl="1">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
      <w:numFmt w:val="bullet"/>
      <w:start w:val="1"/>
    </w:lvl>
  </w:abstractNum>
  <w:abstractNum w:abstractNumId="44">
    <w:nsid w:val="235BA861"/>
    <w:multiLevelType w:val="hybridMultilevel"/>
    <w:lvl w:ilvl="0">
      <w:lvlJc w:val="left"/>
      <w:lvlText w:val="•"/>
      <w:numFmt w:val="bullet"/>
      <w:start w:val="1"/>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
      <w:numFmt w:val="bullet"/>
      <w:start w:val="1"/>
    </w:lvl>
  </w:abstractNum>
  <w:abstractNum w:abstractNumId="50">
    <w:nsid w:val="10233C99"/>
    <w:multiLevelType w:val="hybridMultilevel"/>
    <w:lvl w:ilvl="0">
      <w:lvlJc w:val="left"/>
      <w:lvlText w:val="(%1)"/>
      <w:numFmt w:val="decimal"/>
      <w:start w:val="1"/>
    </w:lvl>
  </w:abstractNum>
  <w:abstractNum w:abstractNumId="51">
    <w:nsid w:val="3F6AB60F"/>
    <w:multiLevelType w:val="hybridMultilevel"/>
    <w:lvl w:ilvl="0">
      <w:lvlJc w:val="left"/>
      <w:lvlText w:val="(%1)"/>
      <w:numFmt w:val="decimal"/>
      <w:start w:val="1"/>
    </w:lvl>
  </w:abstractNum>
  <w:abstractNum w:abstractNumId="52">
    <w:nsid w:val="61574095"/>
    <w:multiLevelType w:val="hybridMultilevel"/>
    <w:lvl w:ilvl="0">
      <w:lvlJc w:val="left"/>
      <w:lvlText w:val="•"/>
      <w:numFmt w:val="bullet"/>
      <w:start w:val="1"/>
    </w:lvl>
  </w:abstractNum>
  <w:abstractNum w:abstractNumId="53">
    <w:nsid w:val="7E0C57B1"/>
    <w:multiLevelType w:val="hybridMultilevel"/>
    <w:lvl w:ilvl="0">
      <w:lvlJc w:val="left"/>
      <w:lvlText w:val="•"/>
      <w:numFmt w:val="bullet"/>
      <w:start w:val="1"/>
    </w:lvl>
  </w:abstractNum>
  <w:abstractNum w:abstractNumId="54">
    <w:nsid w:val="77AE35EB"/>
    <w:multiLevelType w:val="hybridMultilevel"/>
    <w:lvl w:ilvl="0">
      <w:lvlJc w:val="left"/>
      <w:lvlText w:val="•"/>
      <w:numFmt w:val="bullet"/>
      <w:start w:val="1"/>
    </w:lvl>
  </w:abstractNum>
  <w:abstractNum w:abstractNumId="55">
    <w:nsid w:val="579BE4F1"/>
    <w:multiLevelType w:val="hybridMultilevel"/>
    <w:lvl w:ilvl="0">
      <w:lvlJc w:val="left"/>
      <w:lvlText w:val="(%1)"/>
      <w:numFmt w:val="lowerRoman"/>
      <w:start w:val="2"/>
    </w:lvl>
  </w:abstractNum>
  <w:abstractNum w:abstractNumId="56">
    <w:nsid w:val="310C50B3"/>
    <w:multiLevelType w:val="hybridMultilevel"/>
    <w:lvl w:ilvl="0">
      <w:lvlJc w:val="left"/>
      <w:lvlText w:val="•"/>
      <w:numFmt w:val="bullet"/>
      <w:start w:val="1"/>
    </w:lvl>
  </w:abstractNum>
  <w:abstractNum w:abstractNumId="57">
    <w:nsid w:val="5FF87E05"/>
    <w:multiLevelType w:val="hybridMultilevel"/>
    <w:lvl w:ilvl="0">
      <w:lvlJc w:val="left"/>
      <w:lvlText w:val="•"/>
      <w:numFmt w:val="bullet"/>
      <w:start w:val="1"/>
    </w:lvl>
  </w:abstractNum>
  <w:abstractNum w:abstractNumId="58">
    <w:nsid w:val="2F305DEF"/>
    <w:multiLevelType w:val="hybridMultilevel"/>
    <w:lvl w:ilvl="0">
      <w:lvlJc w:val="left"/>
      <w:lvlText w:val="•"/>
      <w:numFmt w:val="bullet"/>
      <w:start w:val="1"/>
    </w:lvl>
  </w:abstractNum>
  <w:abstractNum w:abstractNumId="59">
    <w:nsid w:val="25A70BF7"/>
    <w:multiLevelType w:val="hybridMultilevel"/>
    <w:lvl w:ilvl="0">
      <w:lvlJc w:val="left"/>
      <w:lvlText w:val="•"/>
      <w:numFmt w:val="bullet"/>
      <w:start w:val="1"/>
    </w:lvl>
  </w:abstractNum>
  <w:abstractNum w:abstractNumId="60">
    <w:nsid w:val="1DBABF00"/>
    <w:multiLevelType w:val="hybridMultilevel"/>
    <w:lvl w:ilvl="0">
      <w:lvlJc w:val="left"/>
      <w:lvlText w:val="•"/>
      <w:numFmt w:val="bullet"/>
      <w:start w:val="1"/>
    </w:lvl>
  </w:abstractNum>
  <w:abstractNum w:abstractNumId="61">
    <w:nsid w:val="4AD084E9"/>
    <w:multiLevelType w:val="hybridMultilevel"/>
    <w:lvl w:ilvl="0">
      <w:lvlJc w:val="left"/>
      <w:lvlText w:val="•"/>
      <w:numFmt w:val="bullet"/>
      <w:start w:val="1"/>
    </w:lvl>
  </w:abstractNum>
  <w:abstractNum w:abstractNumId="62">
    <w:nsid w:val="1F48EAA1"/>
    <w:multiLevelType w:val="hybridMultilevel"/>
    <w:lvl w:ilvl="0">
      <w:lvlJc w:val="left"/>
      <w:lvlText w:val="(%1)"/>
      <w:numFmt w:val="decimal"/>
      <w:start w:val="1"/>
    </w:lvl>
  </w:abstractNum>
  <w:abstractNum w:abstractNumId="63">
    <w:nsid w:val="1381823A"/>
    <w:multiLevelType w:val="hybridMultilevel"/>
    <w:lvl w:ilvl="0">
      <w:lvlJc w:val="left"/>
      <w:lvlText w:val="(%1)"/>
      <w:numFmt w:val="decimal"/>
      <w:start w:val="1"/>
    </w:lvl>
  </w:abstractNum>
  <w:abstractNum w:abstractNumId="64">
    <w:nsid w:val="5DB70AE5"/>
    <w:multiLevelType w:val="hybridMultilevel"/>
    <w:lvl w:ilvl="0">
      <w:lvlJc w:val="left"/>
      <w:lvlText w:val="(%1)"/>
      <w:numFmt w:val="decimal"/>
      <w:start w:val="1"/>
    </w:lvl>
  </w:abstractNum>
  <w:abstractNum w:abstractNumId="65">
    <w:nsid w:val="100F8FCA"/>
    <w:multiLevelType w:val="hybridMultilevel"/>
    <w:lvl w:ilvl="0">
      <w:lvlJc w:val="left"/>
      <w:lvlText w:val="•"/>
      <w:numFmt w:val="bullet"/>
      <w:start w:val="1"/>
    </w:lvl>
  </w:abstractNum>
  <w:abstractNum w:abstractNumId="66">
    <w:nsid w:val="6590700B"/>
    <w:multiLevelType w:val="hybridMultilevel"/>
    <w:lvl w:ilvl="0">
      <w:lvlJc w:val="left"/>
      <w:lvlText w:val="•"/>
      <w:numFmt w:val="bullet"/>
      <w:start w:val="1"/>
    </w:lvl>
  </w:abstractNum>
  <w:abstractNum w:abstractNumId="67">
    <w:nsid w:val="15014ACB"/>
    <w:multiLevelType w:val="hybridMultilevel"/>
    <w:lvl w:ilvl="0">
      <w:lvlJc w:val="left"/>
      <w:lvlText w:val="•"/>
      <w:numFmt w:val="bullet"/>
      <w:start w:val="1"/>
    </w:lvl>
  </w:abstractNum>
  <w:abstractNum w:abstractNumId="68">
    <w:nsid w:val="5F5E7FD0"/>
    <w:multiLevelType w:val="hybridMultilevel"/>
    <w:lvl w:ilvl="0">
      <w:lvlJc w:val="left"/>
      <w:lvlText w:val="(%1)"/>
      <w:numFmt w:val="decimal"/>
      <w:start w:val="3"/>
    </w:lvl>
  </w:abstractNum>
  <w:abstractNum w:abstractNumId="69">
    <w:nsid w:val="98A3148"/>
    <w:multiLevelType w:val="hybridMultilevel"/>
    <w:lvl w:ilvl="0">
      <w:lvlJc w:val="left"/>
      <w:lvlText w:val="(%1)"/>
      <w:numFmt w:val="lowerRoman"/>
      <w:start w:val="3"/>
    </w:lvl>
  </w:abstractNum>
  <w:abstractNum w:abstractNumId="70">
    <w:nsid w:val="799D024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jpe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31" Type="http://schemas.openxmlformats.org/officeDocument/2006/relationships/hyperlink" Target="http://www.sec.gov/ix?doc=/Archives/edgar/data/1297996/000110465926015365/dlr-20251231x10k.htm" TargetMode="External"/><Relationship Id="rId32" Type="http://schemas.openxmlformats.org/officeDocument/2006/relationships/hyperlink" Target="http://www.sec.gov/ix?doc=/Archives/edgar/data/0001297996/000130817926000296/dlr015307-def14a.htm" TargetMode="External"/><Relationship Id="rId33" Type="http://schemas.openxmlformats.org/officeDocument/2006/relationships/hyperlink" Target="http://www.sec.gov/ix?doc=/Archives/edgar/data/0001297996/000110465926054255/dlr-20260331x10q.htm" TargetMode="External"/><Relationship Id="rId34" Type="http://schemas.openxmlformats.org/officeDocument/2006/relationships/hyperlink" Target="http://www.sec.gov/ix?doc=/Archives/edgar/data/1297996/000110465926089296/dlr-20260630x10q.htm" TargetMode="External"/><Relationship Id="rId35" Type="http://schemas.openxmlformats.org/officeDocument/2006/relationships/hyperlink" Target="http://www.sec.gov/ix?doc=/Archives/edgar/data/1297996/000110465926120710/dlr-20260930x10q.htm" TargetMode="External"/><Relationship Id="rId36" Type="http://schemas.openxmlformats.org/officeDocument/2006/relationships/hyperlink" Target="http://www.sec.gov/ix?doc=/Archives/edgar/data/0001297996/000119312526053164/d112316d8k.htm" TargetMode="External"/><Relationship Id="rId37" Type="http://schemas.openxmlformats.org/officeDocument/2006/relationships/hyperlink" Target="http://www.sec.gov/ix?doc=/Archives/edgar/data/1297996/000119312526415814/d191285d8k.htm" TargetMode="External"/><Relationship Id="rId38" Type="http://schemas.openxmlformats.org/officeDocument/2006/relationships/hyperlink" Target="http://www.sec.gov/ix?doc=/Archives/edgar/data/1297996/000119312526415815/d106844d8k.htm" TargetMode="External"/><Relationship Id="rId39" Type="http://schemas.openxmlformats.org/officeDocument/2006/relationships/hyperlink" Target="http://www.sec.gov/ix?doc=/Archives/edgar/data/1297996/000119312526419168/d368817d8k.htm" TargetMode="External"/><Relationship Id="rId40" Type="http://schemas.openxmlformats.org/officeDocument/2006/relationships/hyperlink" Target="http://www.sec.gov/ix?doc=/Archives/edgar/data/0001297996/000110465926068907/dlr-20260529x8k.htm" TargetMode="External"/><Relationship Id="rId41" Type="http://schemas.openxmlformats.org/officeDocument/2006/relationships/hyperlink" Target="http://www.sec.gov/Archives/edgar/data/1297996/000119312504179636/d8a12b.htm" TargetMode="External"/><Relationship Id="rId52" Type="http://schemas.openxmlformats.org/officeDocument/2006/relationships/hyperlink" Target="http://www.sec.gov/Archives/edgar/data/1297996/000110465926015365/dlr-20251231x10k.htm" TargetMode="External"/><Relationship Id="rId53" Type="http://schemas.openxmlformats.org/officeDocument/2006/relationships/hyperlink" Target="http://www.sec.gov/Archives/edgar/data/1297996/000130817925000509/dlr000000-def14a.htm" TargetMode="External"/><Relationship Id="rId54" Type="http://schemas.openxmlformats.org/officeDocument/2006/relationships/hyperlink" Target="http://www.sec.gov/Archives/edgar/data/1297996/000155837025001424/dlr-20241231x10k.htm" TargetMode="External"/><Relationship Id="rId55" Type="http://schemas.openxmlformats.org/officeDocument/2006/relationships/hyperlink" Target="http://www.sec.gov/Archives/edgar/data/1297996/000119312517248824/d425847d8a12b.htm" TargetMode="External"/><Relationship Id="rId56" Type="http://schemas.openxmlformats.org/officeDocument/2006/relationships/hyperlink" Target="http://www.sec.gov/Archives/edgar/data/1297996/000119312519072090/d721065d8a12b.htm" TargetMode="External"/><Relationship Id="rId57" Type="http://schemas.openxmlformats.org/officeDocument/2006/relationships/hyperlink" Target="http://www.sec.gov/Archives/edgar/data/1297996/000119312519265151/d810964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2026-10-30T17:00:23Z</dcterms:created>
  <dcterms:modified xsi:type="dcterms:W3CDTF">2026-10-30T17:00:23Z</dcterms:modified>
</cp:coreProperties>
</file>