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22026_080630.xml.htm"/>
      <w:bookmarkStart w:id="1" w:name="ksform406022026_0806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Bolze Stephen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W. 2ND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FLOOR 32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 REALTY TRUST, INC.</w:t>
              </w:r>
            </w:hyperlink>
            <w:r>
              <w:rPr/>
              <w:t xml:space="preserve"> [ </w:t>
            </w:r>
            <w:r>
              <w:rPr>
                <w:rFonts w:ascii="Times;serif" w:hAnsi="Times;serif"/>
                <w:color w:val="0000FF"/>
                <w:sz w:val="24"/>
                <w:shd w:fill="FFFFFF" w:val="clear"/>
              </w:rPr>
              <w:t>DLR</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19"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Long-Term Incentive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1,289</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Long-Term Incentive Units are profits interest units in Digital Realty Trust, L.P. ("Operating Partnership"), of which the Issuer is the general partner. Profits interest units may initially not have full parity with common limited partnership units of Operating Partnership ("Common Units") with respect to liquidating distributions; however upon the occurrence of specified events, profits interest units may achieve full parity with Common Units for all purposes. Vested profits interest units that have achieved full parity with Common Units may be converted into an equal number of Common Units on a 1-for-1 basis at any time. Common Units are redeemable for cash based on the FMV of an equivalent number of shares of common stock of the Issuer, or, at the election of the Issuer, for an equal number of shares of the Issuer's common stock, subject to adjustment in the event of stock splits, stock dividends, issuance of stock rights, specified extraordinary distributions or similar events.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Awards vest on the earlier of (i) the first anniversary of the grant date or (b) the day before the date of the next annual meeting of stockholders of the Company to occur following the grant date. The vested profits interest units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statement of changes in beneficial ownership of securities ("Form 4") of the Issuer is being filed to report transactions that are being reported concurrently on a Form 4 for the Operating Partnership.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Salini Nandipati,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2470" TargetMode="External"/><Relationship Id="rId5" Type="http://schemas.openxmlformats.org/officeDocument/2006/relationships/hyperlink" Target="http://www.sec.gov/cgi-bin/browse-edgar?action=getcompany&amp;CIK=0001297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804</Words>
  <Characters>4312</Characters>
  <CharactersWithSpaces>5053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