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91285d8k.htm"/>
      <w:bookmarkStart w:id="1" w:name="ksd19128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12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w:t>
      </w:r>
    </w:p>
    <w:p>
      <w:pPr>
        <w:pStyle w:val="TextBody"/>
        <w:bidi w:val="0"/>
        <w:spacing w:before="240" w:after="0"/>
        <w:jc w:val="center"/>
        <w:rPr>
          <w:rFonts w:ascii="Times New Roman" w:hAnsi="Times New Roman"/>
          <w:b/>
          <w:spacing w:val="0"/>
          <w:sz w:val="36"/>
        </w:rPr>
      </w:pPr>
      <w:r>
        <w:rPr>
          <w:rFonts w:ascii="Times New Roman" w:hAnsi="Times New Roman"/>
          <w:b/>
          <w:spacing w:val="0"/>
          <w:sz w:val="36"/>
        </w:rPr>
        <w:t>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Date of Report (Date of earliest event reported): October 6,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DIGITAL REALTY TRUST, INC.</w:t>
      </w:r>
    </w:p>
    <w:p>
      <w:pPr>
        <w:pStyle w:val="TextBody"/>
        <w:bidi w:val="0"/>
        <w:spacing w:before="0" w:after="0"/>
        <w:jc w:val="center"/>
        <w:rPr>
          <w:rFonts w:ascii="Times New Roman" w:hAnsi="Times New Roman"/>
          <w:b/>
          <w:sz w:val="48"/>
        </w:rPr>
      </w:pPr>
      <w:r>
        <w:rPr>
          <w:rFonts w:ascii="Times New Roman" w:hAnsi="Times New Roman"/>
          <w:b/>
          <w:sz w:val="48"/>
        </w:rPr>
        <w:t>DIGITAL REALTY TRUST, L.P.</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364" w:type="dxa"/>
        <w:jc w:val="left"/>
        <w:tblInd w:w="0" w:type="dxa"/>
        <w:tblLayout w:type="fixed"/>
        <w:tblCellMar>
          <w:top w:w="0" w:type="dxa"/>
          <w:left w:w="0" w:type="dxa"/>
          <w:bottom w:w="0" w:type="dxa"/>
          <w:right w:w="0" w:type="dxa"/>
        </w:tblCellMar>
      </w:tblPr>
      <w:tblGrid>
        <w:gridCol w:w="2519"/>
        <w:gridCol w:w="76"/>
        <w:gridCol w:w="1339"/>
        <w:gridCol w:w="60"/>
        <w:gridCol w:w="1370"/>
      </w:tblGrid>
      <w:tr>
        <w:trPr/>
        <w:tc>
          <w:tcPr>
            <w:tcW w:w="2519"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519" w:type="dxa"/>
            <w:tcBorders/>
            <w:vAlign w:val="center"/>
          </w:tcPr>
          <w:p>
            <w:pPr>
              <w:pStyle w:val="TableContents"/>
              <w:bidi w:val="0"/>
              <w:spacing w:before="0" w:after="0"/>
              <w:jc w:val="center"/>
              <w:rPr>
                <w:b/>
                <w:spacing w:val="0"/>
              </w:rPr>
            </w:pPr>
            <w:r>
              <w:rPr>
                <w:b/>
                <w:spacing w:val="0"/>
              </w:rPr>
              <w:t>Maryland</w:t>
            </w:r>
          </w:p>
        </w:tc>
        <w:tc>
          <w:tcPr>
            <w:tcW w:w="76" w:type="dxa"/>
            <w:tcBorders/>
            <w:vAlign w:val="center"/>
          </w:tcPr>
          <w:p>
            <w:pPr>
              <w:pStyle w:val="TableContents"/>
              <w:bidi w:val="0"/>
              <w:spacing w:before="0" w:after="283"/>
              <w:jc w:val="left"/>
              <w:rPr/>
            </w:pPr>
            <w:r>
              <w:rPr/>
              <w:t> </w:t>
            </w:r>
          </w:p>
        </w:tc>
        <w:tc>
          <w:tcPr>
            <w:tcW w:w="1339" w:type="dxa"/>
            <w:tcBorders/>
            <w:vAlign w:val="center"/>
          </w:tcPr>
          <w:p>
            <w:pPr>
              <w:pStyle w:val="TableContents"/>
              <w:bidi w:val="0"/>
              <w:spacing w:before="0" w:after="0"/>
              <w:jc w:val="center"/>
              <w:rPr>
                <w:b/>
                <w:spacing w:val="0"/>
              </w:rPr>
            </w:pPr>
            <w:r>
              <w:rPr>
                <w:b/>
                <w:spacing w:val="0"/>
              </w:rPr>
              <w:t>001-32336</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26-0081711</w:t>
            </w:r>
          </w:p>
        </w:tc>
      </w:tr>
      <w:tr>
        <w:trPr/>
        <w:tc>
          <w:tcPr>
            <w:tcW w:w="2519" w:type="dxa"/>
            <w:tcBorders/>
            <w:vAlign w:val="center"/>
          </w:tcPr>
          <w:p>
            <w:pPr>
              <w:pStyle w:val="TableContents"/>
              <w:bidi w:val="0"/>
              <w:spacing w:before="0" w:after="0"/>
              <w:jc w:val="center"/>
              <w:rPr>
                <w:b/>
                <w:spacing w:val="0"/>
              </w:rPr>
            </w:pPr>
            <w:r>
              <w:rPr>
                <w:b/>
                <w:spacing w:val="0"/>
              </w:rPr>
              <w:t>Maryland</w:t>
            </w:r>
          </w:p>
        </w:tc>
        <w:tc>
          <w:tcPr>
            <w:tcW w:w="76" w:type="dxa"/>
            <w:tcBorders/>
            <w:vAlign w:val="center"/>
          </w:tcPr>
          <w:p>
            <w:pPr>
              <w:pStyle w:val="TableContents"/>
              <w:bidi w:val="0"/>
              <w:spacing w:before="0" w:after="283"/>
              <w:jc w:val="left"/>
              <w:rPr/>
            </w:pPr>
            <w:r>
              <w:rPr/>
              <w:t> </w:t>
            </w:r>
          </w:p>
        </w:tc>
        <w:tc>
          <w:tcPr>
            <w:tcW w:w="1339" w:type="dxa"/>
            <w:tcBorders/>
            <w:vAlign w:val="center"/>
          </w:tcPr>
          <w:p>
            <w:pPr>
              <w:pStyle w:val="TableContents"/>
              <w:bidi w:val="0"/>
              <w:spacing w:before="0" w:after="0"/>
              <w:jc w:val="center"/>
              <w:rPr>
                <w:b/>
                <w:spacing w:val="0"/>
              </w:rPr>
            </w:pPr>
            <w:r>
              <w:rPr>
                <w:b/>
                <w:spacing w:val="0"/>
              </w:rPr>
              <w:t>000-54023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20-2402955</w:t>
            </w:r>
          </w:p>
        </w:tc>
      </w:tr>
      <w:tr>
        <w:trPr/>
        <w:tc>
          <w:tcPr>
            <w:tcW w:w="2519"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76" w:type="dxa"/>
            <w:tcBorders/>
            <w:vAlign w:val="center"/>
          </w:tcPr>
          <w:p>
            <w:pPr>
              <w:pStyle w:val="TableContents"/>
              <w:bidi w:val="0"/>
              <w:spacing w:before="0" w:after="283"/>
              <w:jc w:val="left"/>
              <w:rPr/>
            </w:pPr>
            <w:r>
              <w:rPr/>
              <w:t> </w:t>
            </w:r>
          </w:p>
        </w:tc>
        <w:tc>
          <w:tcPr>
            <w:tcW w:w="1339"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c>
          <w:tcPr>
            <w:tcW w:w="3934" w:type="dxa"/>
            <w:gridSpan w:val="3"/>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r>
      <w:tr>
        <w:trPr/>
        <w:tc>
          <w:tcPr>
            <w:tcW w:w="3934" w:type="dxa"/>
            <w:gridSpan w:val="3"/>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601 West 2nd Street, Floor 32</w:t>
            </w:r>
          </w:p>
          <w:p>
            <w:pPr>
              <w:pStyle w:val="TableContents"/>
              <w:bidi w:val="0"/>
              <w:spacing w:before="0" w:after="20"/>
              <w:jc w:val="center"/>
              <w:rPr>
                <w:rFonts w:ascii="Times New Roman" w:hAnsi="Times New Roman"/>
                <w:b/>
                <w:sz w:val="20"/>
              </w:rPr>
            </w:pPr>
            <w:r>
              <w:rPr>
                <w:rFonts w:ascii="Times New Roman" w:hAnsi="Times New Roman"/>
                <w:b/>
                <w:sz w:val="20"/>
              </w:rPr>
              <w:t>Austin, Texas</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78701</w:t>
            </w:r>
          </w:p>
        </w:tc>
      </w:tr>
      <w:tr>
        <w:trPr/>
        <w:tc>
          <w:tcPr>
            <w:tcW w:w="3934" w:type="dxa"/>
            <w:gridSpan w:val="3"/>
            <w:tcBorders/>
            <w:vAlign w:val="center"/>
          </w:tcPr>
          <w:p>
            <w:pPr>
              <w:pStyle w:val="TableContents"/>
              <w:bidi w:val="0"/>
              <w:spacing w:before="0" w:after="0"/>
              <w:jc w:val="center"/>
              <w:rPr>
                <w:b/>
                <w:spacing w:val="0"/>
              </w:rPr>
            </w:pPr>
            <w:r>
              <w:rPr>
                <w:b/>
                <w:spacing w:val="0"/>
              </w:rPr>
              <w:t>(Address of principal executive offices)</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(737)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281-0101</w:t>
      </w:r>
    </w:p>
    <w:p>
      <w:pPr>
        <w:pStyle w:val="TextBody"/>
        <w:bidi w:val="0"/>
        <w:spacing w:before="0" w:after="0"/>
        <w:jc w:val="center"/>
        <w:rPr>
          <w:rFonts w:ascii="Times New Roman" w:hAnsi="Times New Roman"/>
          <w:b/>
          <w:sz w:val="16"/>
        </w:rPr>
      </w:pPr>
      <w:r>
        <w:rPr>
          <w:rFonts w:ascii="Times New Roman" w:hAnsi="Times New Roman"/>
          <w:b/>
          <w:sz w:val="16"/>
        </w:rPr>
        <w:t xml:space="preserve">(Registrant’s telephone number, including area code) </w:t>
      </w:r>
    </w:p>
    <w:p>
      <w:pPr>
        <w:pStyle w:val="TextBody"/>
        <w:bidi w:val="0"/>
        <w:spacing w:before="240" w:after="0"/>
        <w:jc w:val="center"/>
        <w:rPr>
          <w:rFonts w:ascii="Times New Roman" w:hAnsi="Times New Roman"/>
          <w:b/>
          <w:sz w:val="20"/>
        </w:rPr>
      </w:pPr>
      <w:r>
        <w:rPr>
          <w:rFonts w:ascii="Times New Roman" w:hAnsi="Times New Roman"/>
          <w:b/>
          <w:sz w:val="20"/>
        </w:rPr>
        <w:t xml:space="preserve">N/A </w:t>
      </w:r>
    </w:p>
    <w:p>
      <w:pPr>
        <w:pStyle w:val="TextBody"/>
        <w:bidi w:val="0"/>
        <w:spacing w:before="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below if the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8-K</w:t>
      </w:r>
    </w:p>
    <w:p>
      <w:pPr>
        <w:pStyle w:val="TextBody"/>
        <w:bidi w:val="0"/>
        <w:spacing w:before="240" w:after="0"/>
        <w:jc w:val="left"/>
        <w:rPr>
          <w:rFonts w:ascii="Times New Roman" w:hAnsi="Times New Roman"/>
          <w:sz w:val="20"/>
        </w:rPr>
      </w:pPr>
      <w:r>
        <w:rPr>
          <w:rFonts w:ascii="Times New Roman" w:hAnsi="Times New Roman"/>
          <w:sz w:val="20"/>
        </w:rPr>
        <w:t xml:space="preserve">filing is intended to simultaneously satisfy the filing obligation of the registrant under any of the following provisions: </w:t>
      </w:r>
    </w:p>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245"/>
        <w:gridCol w:w="2990"/>
      </w:tblGrid>
      <w:tr>
        <w:trPr/>
        <w:tc>
          <w:tcPr>
            <w:tcW w:w="245"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14a-12</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240.14a-12)</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14d-2(b)</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240.14d-2(b))</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13e-4(c)</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240.13e-4(c))</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w:t>
      </w:r>
    </w:p>
    <w:tbl>
      <w:tblPr>
        <w:tblW w:w="9120" w:type="dxa"/>
        <w:jc w:val="left"/>
        <w:tblInd w:w="0" w:type="dxa"/>
        <w:tblLayout w:type="fixed"/>
        <w:tblCellMar>
          <w:top w:w="0" w:type="dxa"/>
          <w:left w:w="0" w:type="dxa"/>
          <w:bottom w:w="0" w:type="dxa"/>
          <w:right w:w="0" w:type="dxa"/>
        </w:tblCellMar>
      </w:tblPr>
      <w:tblGrid>
        <w:gridCol w:w="5105"/>
        <w:gridCol w:w="60"/>
        <w:gridCol w:w="1100"/>
        <w:gridCol w:w="60"/>
        <w:gridCol w:w="2795"/>
      </w:tblGrid>
      <w:tr>
        <w:trPr/>
        <w:tc>
          <w:tcPr>
            <w:tcW w:w="5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r>
      <w:tr>
        <w:trPr/>
        <w:tc>
          <w:tcPr>
            <w:tcW w:w="51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7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5105" w:type="dxa"/>
            <w:tcBorders/>
            <w:vAlign w:val="center"/>
          </w:tcPr>
          <w:p>
            <w:pPr>
              <w:pStyle w:val="TableContents"/>
              <w:bidi w:val="0"/>
              <w:spacing w:before="0" w:after="0"/>
              <w:jc w:val="center"/>
              <w:rPr>
                <w:b/>
                <w:spacing w:val="0"/>
              </w:rPr>
            </w:pPr>
            <w:r>
              <w:rPr>
                <w:b/>
                <w:spacing w:val="0"/>
              </w:rPr>
              <w:t>Common Stock</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center"/>
              <w:rPr>
                <w:b/>
                <w:spacing w:val="0"/>
              </w:rPr>
            </w:pPr>
            <w:r>
              <w:rPr>
                <w:b/>
                <w:spacing w:val="0"/>
              </w:rPr>
              <w:t>DLR</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0"/>
              <w:jc w:val="center"/>
              <w:rPr>
                <w:b/>
                <w:spacing w:val="0"/>
              </w:rPr>
            </w:pPr>
            <w:r>
              <w:rPr>
                <w:b/>
                <w:spacing w:val="0"/>
              </w:rPr>
              <w:t>New York Stock Exchange</w:t>
            </w:r>
          </w:p>
        </w:tc>
      </w:tr>
      <w:tr>
        <w:trPr/>
        <w:tc>
          <w:tcPr>
            <w:tcW w:w="5105" w:type="dxa"/>
            <w:tcBorders/>
            <w:vAlign w:val="center"/>
          </w:tcPr>
          <w:p>
            <w:pPr>
              <w:pStyle w:val="TableContents"/>
              <w:bidi w:val="0"/>
              <w:spacing w:before="0" w:after="0"/>
              <w:jc w:val="center"/>
              <w:rPr>
                <w:b/>
                <w:spacing w:val="0"/>
              </w:rPr>
            </w:pPr>
            <w:r>
              <w:rPr>
                <w:b/>
                <w:spacing w:val="0"/>
              </w:rPr>
              <w:t>Series J Cumulative Redeemable Preferred Stock</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center"/>
              <w:rPr>
                <w:b/>
                <w:spacing w:val="0"/>
              </w:rPr>
            </w:pPr>
            <w:r>
              <w:rPr>
                <w:b/>
                <w:spacing w:val="0"/>
              </w:rPr>
              <w:t>DLR Pr J</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0"/>
              <w:jc w:val="center"/>
              <w:rPr>
                <w:b/>
                <w:spacing w:val="0"/>
              </w:rPr>
            </w:pPr>
            <w:r>
              <w:rPr>
                <w:b/>
                <w:spacing w:val="0"/>
              </w:rPr>
              <w:t>New York Stock Exchange</w:t>
            </w:r>
          </w:p>
        </w:tc>
      </w:tr>
      <w:tr>
        <w:trPr/>
        <w:tc>
          <w:tcPr>
            <w:tcW w:w="5105" w:type="dxa"/>
            <w:tcBorders/>
            <w:vAlign w:val="center"/>
          </w:tcPr>
          <w:p>
            <w:pPr>
              <w:pStyle w:val="TableContents"/>
              <w:bidi w:val="0"/>
              <w:spacing w:before="0" w:after="0"/>
              <w:jc w:val="center"/>
              <w:rPr>
                <w:b/>
                <w:spacing w:val="0"/>
              </w:rPr>
            </w:pPr>
            <w:r>
              <w:rPr>
                <w:b/>
                <w:spacing w:val="0"/>
              </w:rPr>
              <w:t>Series K Cumulative Redeemable Preferred Stock</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center"/>
              <w:rPr>
                <w:b/>
                <w:spacing w:val="0"/>
              </w:rPr>
            </w:pPr>
            <w:r>
              <w:rPr>
                <w:b/>
                <w:spacing w:val="0"/>
              </w:rPr>
              <w:t>DLR Pr K</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0"/>
              <w:jc w:val="center"/>
              <w:rPr>
                <w:b/>
                <w:spacing w:val="0"/>
              </w:rPr>
            </w:pPr>
            <w:r>
              <w:rPr>
                <w:b/>
                <w:spacing w:val="0"/>
              </w:rPr>
              <w:t>New York Stock Exchange</w:t>
            </w:r>
          </w:p>
        </w:tc>
      </w:tr>
      <w:tr>
        <w:trPr/>
        <w:tc>
          <w:tcPr>
            <w:tcW w:w="5105" w:type="dxa"/>
            <w:tcBorders/>
            <w:vAlign w:val="center"/>
          </w:tcPr>
          <w:p>
            <w:pPr>
              <w:pStyle w:val="TableContents"/>
              <w:bidi w:val="0"/>
              <w:spacing w:before="0" w:after="0"/>
              <w:jc w:val="center"/>
              <w:rPr>
                <w:b/>
                <w:spacing w:val="0"/>
              </w:rPr>
            </w:pPr>
            <w:r>
              <w:rPr>
                <w:b/>
                <w:spacing w:val="0"/>
              </w:rPr>
              <w:t>Series L Cumulative Redeemable Preferred Stock</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center"/>
              <w:rPr>
                <w:b/>
                <w:spacing w:val="0"/>
              </w:rPr>
            </w:pPr>
            <w:r>
              <w:rPr>
                <w:b/>
                <w:spacing w:val="0"/>
              </w:rPr>
              <w:t>DLR Pr L</w:t>
            </w:r>
          </w:p>
        </w:tc>
        <w:tc>
          <w:tcPr>
            <w:tcW w:w="6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0"/>
              <w:jc w:val="center"/>
              <w:rPr>
                <w:b/>
                <w:spacing w:val="0"/>
              </w:rPr>
            </w:pPr>
            <w:r>
              <w:rPr>
                <w:b/>
                <w:spacing w:val="0"/>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 230.405 of this chapter) or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Securities Exchange Act of 1934 (§ </w:t>
      </w:r>
    </w:p>
    <w:p>
      <w:pPr>
        <w:pStyle w:val="TextBody"/>
        <w:bidi w:val="0"/>
        <w:spacing w:before="240" w:after="0"/>
        <w:jc w:val="left"/>
        <w:rPr>
          <w:rFonts w:ascii="Times New Roman" w:hAnsi="Times New Roman"/>
          <w:spacing w:val="0"/>
          <w:sz w:val="20"/>
        </w:rPr>
      </w:pPr>
      <w:r>
        <w:rPr>
          <w:rFonts w:ascii="Times New Roman" w:hAnsi="Times New Roman"/>
          <w:spacing w:val="0"/>
          <w:sz w:val="20"/>
        </w:rPr>
        <w:t>240.12b-2</w:t>
      </w:r>
    </w:p>
    <w:p>
      <w:pPr>
        <w:pStyle w:val="TextBody"/>
        <w:bidi w:val="0"/>
        <w:spacing w:before="240" w:after="0"/>
        <w:jc w:val="left"/>
        <w:rPr>
          <w:rFonts w:ascii="Times New Roman" w:hAnsi="Times New Roman"/>
          <w:sz w:val="20"/>
        </w:rPr>
      </w:pPr>
      <w:r>
        <w:rPr>
          <w:rFonts w:ascii="Times New Roman" w:hAnsi="Times New Roman"/>
          <w:sz w:val="20"/>
        </w:rPr>
        <w:t xml:space="preserve">of this chapter). </w:t>
      </w:r>
    </w:p>
    <w:p>
      <w:pPr>
        <w:pStyle w:val="TextBody"/>
        <w:bidi w:val="0"/>
        <w:spacing w:before="0" w:after="0"/>
        <w:jc w:val="left"/>
        <w:rPr/>
      </w:pPr>
      <w:r>
        <w:rPr/>
        <w:t> </w:t>
      </w:r>
    </w:p>
    <w:tbl>
      <w:tblPr>
        <w:tblW w:w="5595" w:type="dxa"/>
        <w:jc w:val="left"/>
        <w:tblInd w:w="0" w:type="dxa"/>
        <w:tblLayout w:type="fixed"/>
        <w:tblCellMar>
          <w:top w:w="0" w:type="dxa"/>
          <w:left w:w="0" w:type="dxa"/>
          <w:bottom w:w="0" w:type="dxa"/>
          <w:right w:w="0" w:type="dxa"/>
        </w:tblCellMar>
      </w:tblPr>
      <w:tblGrid>
        <w:gridCol w:w="2495"/>
        <w:gridCol w:w="120"/>
        <w:gridCol w:w="2615"/>
        <w:gridCol w:w="120"/>
        <w:gridCol w:w="245"/>
      </w:tblGrid>
      <w:tr>
        <w:trPr/>
        <w:tc>
          <w:tcPr>
            <w:tcW w:w="24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495" w:type="dxa"/>
            <w:tcBorders/>
            <w:vAlign w:val="center"/>
          </w:tcPr>
          <w:p>
            <w:pPr>
              <w:pStyle w:val="TableContents"/>
              <w:bidi w:val="0"/>
              <w:spacing w:before="0" w:after="283"/>
              <w:jc w:val="left"/>
              <w:rPr/>
            </w:pPr>
            <w:r>
              <w:rPr/>
              <w:t>Digital Realty Trust, Inc.:</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12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495" w:type="dxa"/>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65" w:type="dxa"/>
            <w:gridSpan w:val="2"/>
            <w:tcBorders/>
            <w:vAlign w:val="center"/>
          </w:tcPr>
          <w:p>
            <w:pPr>
              <w:pStyle w:val="TableContents"/>
              <w:bidi w:val="0"/>
              <w:spacing w:before="0" w:after="283"/>
              <w:jc w:val="left"/>
              <w:rPr>
                <w:sz w:val="4"/>
                <w:szCs w:val="4"/>
              </w:rPr>
            </w:pPr>
            <w:r>
              <w:rPr>
                <w:sz w:val="4"/>
                <w:szCs w:val="4"/>
              </w:rPr>
            </w:r>
          </w:p>
        </w:tc>
      </w:tr>
      <w:tr>
        <w:trPr/>
        <w:tc>
          <w:tcPr>
            <w:tcW w:w="2495" w:type="dxa"/>
            <w:tcBorders/>
            <w:vAlign w:val="center"/>
          </w:tcPr>
          <w:p>
            <w:pPr>
              <w:pStyle w:val="TableContents"/>
              <w:bidi w:val="0"/>
              <w:spacing w:before="0" w:after="283"/>
              <w:jc w:val="left"/>
              <w:rPr/>
            </w:pPr>
            <w:r>
              <w:rPr/>
              <w:t>Digital Realty Trust, L.P.:</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12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Digital Realty Trust, Inc.: ☐ </w:t>
      </w:r>
    </w:p>
    <w:p>
      <w:pPr>
        <w:pStyle w:val="TextBody"/>
        <w:bidi w:val="0"/>
        <w:spacing w:before="240" w:after="0"/>
        <w:jc w:val="left"/>
        <w:rPr>
          <w:rFonts w:ascii="Times New Roman" w:hAnsi="Times New Roman"/>
          <w:sz w:val="20"/>
        </w:rPr>
      </w:pPr>
      <w:r>
        <w:rPr>
          <w:rFonts w:ascii="Times New Roman" w:hAnsi="Times New Roman"/>
          <w:sz w:val="20"/>
        </w:rPr>
        <w:t xml:space="preserve">Digital Realty Trust, L.P.: ☐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Introductory Note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indicated or unless the context requires otherwise, all references in this report to “we,” “us,” “our,” “our company,” “the company” or “Digital Realty” refer to Digital Realty Trust, Inc., together with its consolidated subsidiaries, including Digital Realty Trust, L.P., our “operating partnership.” </w:t>
      </w:r>
    </w:p>
    <w:p>
      <w:pPr>
        <w:pStyle w:val="TextBody"/>
        <w:bidi w:val="0"/>
        <w:spacing w:before="360" w:after="0"/>
        <w:jc w:val="left"/>
        <w:rPr>
          <w:rFonts w:ascii="Times New Roman" w:hAnsi="Times New Roman"/>
          <w:b/>
          <w:sz w:val="20"/>
        </w:rPr>
      </w:pPr>
      <w:r>
        <w:rPr>
          <w:rFonts w:ascii="Times New Roman" w:hAnsi="Times New Roman"/>
          <w:b/>
          <w:sz w:val="20"/>
        </w:rPr>
        <w:t xml:space="preserve">Item 1.01. Entry into a Material Definitive Agreement. </w:t>
      </w:r>
    </w:p>
    <w:p>
      <w:pPr>
        <w:pStyle w:val="TextBody"/>
        <w:bidi w:val="0"/>
        <w:spacing w:before="120" w:after="0"/>
        <w:jc w:val="left"/>
        <w:rPr>
          <w:rFonts w:ascii="Times New Roman" w:hAnsi="Times New Roman"/>
          <w:sz w:val="20"/>
        </w:rPr>
      </w:pPr>
      <w:r>
        <w:rPr>
          <w:rFonts w:ascii="Times New Roman" w:hAnsi="Times New Roman"/>
          <w:sz w:val="20"/>
        </w:rPr>
        <w:t xml:space="preserve">On October 6, 2026, Digital Constellation B.V., an indirect wholly owned finance subsidiary of the operating partnership, issued and sold CHF225 million aggregate principal amount of 1.6803% Guaranteed Notes due 2029 (the “2029 Notes”), CHF185 million aggregate principal amount of 2.0600% Guaranteed Notes due 2032 (the “2032 Notes”) and CHF100 million aggregate principal amount of 2.4150% Guaranteed Notes due 2036 (the “2036 Notes” and together with the 2029 Notes and the 2032 Notes, the “Swiss Franc Notes”). The Swiss Franc Notes are senior unsecured obligations of Digital Constellation B.V. and are fully and unconditionally guaranteed by Digital Realty Trust, Inc., the operating partnership and Digital Intrepid Holding B.V., an indirect wholly owned holding and finance subsidiary of the operating partnership through which the Interxion business is held. The Swiss Franc Notes were sold outside the United States in reliance on Regulation S under the Securities Act of 1933, as amended (the “Securities Act”) and in Switzerland pursuant to a public offering made in reliance on an exemption from the obligation to publish a prospectus approved by a Swiss review body pursuant to article 51(2) of the Swiss Financial Services Act and article 60 of the Swiss Financial Services Ordinance. The Swiss Franc Notes have not been and will not be registered under the Securities Act and may not be offered or sold within the United States or to United States persons (within the meaning of Regulation S under the Securities Act) absent registration or an applicable exemption from the registration requirements. </w:t>
      </w:r>
    </w:p>
    <w:p>
      <w:pPr>
        <w:pStyle w:val="TextBody"/>
        <w:bidi w:val="0"/>
        <w:spacing w:before="240" w:after="0"/>
        <w:jc w:val="left"/>
        <w:rPr>
          <w:rFonts w:ascii="Times New Roman" w:hAnsi="Times New Roman"/>
          <w:sz w:val="20"/>
        </w:rPr>
      </w:pPr>
      <w:r>
        <w:rPr>
          <w:rFonts w:ascii="Times New Roman" w:hAnsi="Times New Roman"/>
          <w:sz w:val="20"/>
        </w:rPr>
        <w:t xml:space="preserve">The terms of the Swiss Franc Notes are governed by terms and conditions, dated as of October 2, 2026 (the “Conditions”), a copy of which is attached hereto as Exhibit 4.1 and incorporated herein by reference. Each of the Swiss Franc Notes are evidenced by permanent global certificates, copies of which are attached hereto as Exhibit 4.2, Exhibit 4.3 and Exhibit 4.4, respectively, and incorporated herein by reference. The Conditions contain various restrictive covenants, including limitations on our ability to incur additional indebtedness and requirements to maintain a pool of unencumbered assets. The descriptions of the Conditions, the Swiss Franc Notes and the guarantees in this report are summaries and are qualified in their entirety by the terms of the Conditions and the forms of the Swiss Franc Notes. </w:t>
      </w:r>
    </w:p>
    <w:p>
      <w:pPr>
        <w:pStyle w:val="TextBody"/>
        <w:bidi w:val="0"/>
        <w:spacing w:before="240" w:after="0"/>
        <w:jc w:val="left"/>
        <w:rPr>
          <w:rFonts w:ascii="Times New Roman" w:hAnsi="Times New Roman"/>
          <w:sz w:val="20"/>
        </w:rPr>
      </w:pPr>
      <w:r>
        <w:rPr>
          <w:rFonts w:ascii="Times New Roman" w:hAnsi="Times New Roman"/>
          <w:sz w:val="20"/>
        </w:rPr>
        <w:t xml:space="preserve">Net proceeds from the offering of the Swiss Franc Notes were CHF508.39 million after deducting the managers’ commissions and certain offering expenses. We intend to use the net proceeds from the offering of the Swiss Franc Notes to temporarily repay borrowings outstanding under the operating partnership’s global revolving credit facilities, acquire additional properties or businesses, fund development opportunities, invest in interest-bearing accounts and short-term, interest-bearing securities which are consistent with Digital Realty Trust, Inc.’s intention to qualify as a REIT for U.S. federal income tax purposes, and to provide for working capital and other general corporate purposes, including potentially for the repayment of other debt, or the redemption, repurchase, repayment or retirement of outstanding equity or debt securities, or a combination of the foregoing. </w:t>
      </w:r>
    </w:p>
    <w:p>
      <w:pPr>
        <w:pStyle w:val="TextBody"/>
        <w:bidi w:val="0"/>
        <w:spacing w:before="360" w:after="0"/>
        <w:jc w:val="left"/>
        <w:rPr>
          <w:rFonts w:ascii="Times New Roman" w:hAnsi="Times New Roman"/>
          <w:b/>
          <w:sz w:val="20"/>
        </w:rPr>
      </w:pPr>
      <w:r>
        <w:rPr>
          <w:rFonts w:ascii="Times New Roman" w:hAnsi="Times New Roman"/>
          <w:b/>
          <w:sz w:val="20"/>
        </w:rPr>
        <w:t xml:space="preserve">Item 2.03. Creation of a Direct Financial Obligation or an Obligation under an Off-Balance Sheet Arrangement of a Registrant. </w:t>
      </w:r>
    </w:p>
    <w:p>
      <w:pPr>
        <w:pStyle w:val="TextBody"/>
        <w:bidi w:val="0"/>
        <w:spacing w:before="120" w:after="0"/>
        <w:jc w:val="left"/>
        <w:rPr>
          <w:rFonts w:ascii="Times New Roman" w:hAnsi="Times New Roman"/>
          <w:sz w:val="20"/>
        </w:rPr>
      </w:pPr>
      <w:r>
        <w:rPr>
          <w:rFonts w:ascii="Times New Roman" w:hAnsi="Times New Roman"/>
          <w:sz w:val="20"/>
        </w:rPr>
        <w:t xml:space="preserve">On October 6, 2026, Digital Constellation B.V., an indirect wholly owned finance subsidiary of the operating partnership, issued and sold CHF225 million aggregate principal amount of 1.6803% Guaranteed Notes due 2029, CHF185 million aggregate principal amount of 2.0600 % Guaranteed Notes due 2032 and CHF100 million aggregate principal amount of 2.4150% Guaranteed Notes due 2036. The purchase price paid by the initial purchasers for the Swiss Franc Notes was 100% of the principal amount thereof. Interest on the 2029 Notes will be payable annually in arrears at a rate of 1.6803% per annum, and the 2029 Notes will mature on October 8, 2029. Interest on the 2032 Notes will be payable annually in arrears at a rate of 2.0600% per annum, and the 2032 Notes will mature on October 6, 2032. Interest on the 2029 Notes is payable on October 8 of each year beginning on October 8, 2027, interest on the 2032 Notes and 2036 Notes is payable on October 6 of each year beginning on October 6, 2027. Interest on the 2036 Notes will be payable annually in arrears at a rate of 2.4150% per annum, and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2036 Notes will mature on October 6, 2036. The Swiss Franc Notes are senior unsecured obligations of Digital Constellation B.V. and rank equally in right of payment with all of Digital Constellation B.V.’s other existing and future senior unsecured and unsubordinated indebtedness. Digital Constellation B.V.’s obligations under the Swiss Franc Notes are fully and unconditionally guaranteed by Digital Realty Trust, Inc., the operating partnership and Digital Intrepid Holding B.V., an indirect wholly owned holding and finance subsidiary of the operating partnership through which the Interxion business is held. </w:t>
      </w:r>
    </w:p>
    <w:p>
      <w:pPr>
        <w:pStyle w:val="TextBody"/>
        <w:bidi w:val="0"/>
        <w:spacing w:before="240" w:after="0"/>
        <w:jc w:val="left"/>
        <w:rPr>
          <w:rFonts w:ascii="Times New Roman" w:hAnsi="Times New Roman"/>
          <w:sz w:val="20"/>
        </w:rPr>
      </w:pPr>
      <w:r>
        <w:rPr>
          <w:rFonts w:ascii="Times New Roman" w:hAnsi="Times New Roman"/>
          <w:sz w:val="20"/>
        </w:rPr>
        <w:t xml:space="preserve">The Swiss Franc Notes are generally not redeemable at the option of Digital Constellation B.V., except as set out below. </w:t>
      </w:r>
    </w:p>
    <w:p>
      <w:pPr>
        <w:pStyle w:val="TextBody"/>
        <w:bidi w:val="0"/>
        <w:spacing w:before="240" w:after="0"/>
        <w:jc w:val="left"/>
        <w:rPr>
          <w:rFonts w:ascii="Times New Roman" w:hAnsi="Times New Roman"/>
          <w:sz w:val="20"/>
        </w:rPr>
      </w:pPr>
      <w:r>
        <w:rPr>
          <w:rFonts w:ascii="Times New Roman" w:hAnsi="Times New Roman"/>
          <w:sz w:val="20"/>
        </w:rPr>
        <w:t xml:space="preserve">Digital Constellation B.V. may redeem any series of Swiss Franc Notes, in whole, but not in part, on or after the date that is three months prior to the maturity date thereof, or July 8, 2029 for the 2029 Notes, July 6, 2032 for the 2032 Notes and July 6, 2036 for the 2036 Notes, at a price equal to 100% of the principal amount of such series of Swiss Franc Notes plus accrued and unpaid interest, if any,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Additionally, at any time following the issue date and prior to the maturity date, Digital Constellation B.V. may also redeem any series of Swiss Franc Notes in whole, but not in part, at a price equal to 100% of the principal amount of such series of Swiss Franc Notes plus accrued and unpaid interest, if any, to, but excluding, the redemption date if 75% or more of the aggregate principal amount of such series of Swiss Franc Notes have been redeemed or purchased and cancelled at the time of such notice. </w:t>
      </w:r>
    </w:p>
    <w:p>
      <w:pPr>
        <w:pStyle w:val="TextBody"/>
        <w:bidi w:val="0"/>
        <w:spacing w:before="240" w:after="0"/>
        <w:jc w:val="left"/>
        <w:rPr>
          <w:rFonts w:ascii="Times New Roman" w:hAnsi="Times New Roman"/>
          <w:sz w:val="20"/>
        </w:rPr>
      </w:pPr>
      <w:r>
        <w:rPr>
          <w:rFonts w:ascii="Times New Roman" w:hAnsi="Times New Roman"/>
          <w:sz w:val="20"/>
        </w:rPr>
        <w:t xml:space="preserve">All payments of principal and interest on the Swiss Franc Notes will be made free and clear of and without withholding or deduction for or on account of any present or future tax, assessment or other governmental charge imposed by the United States or the Netherlands or a political subdivision or taxing authority thereof or therein having power to tax, unless the withholding of such tax, assessment or governmental charge is required by law or the official interpretation or administration thereof. In the event such withholding or deduction of taxes is required by law, then, subject to certain exceptions, Digital Constellation B.V. will pay such “additional amounts” necessary so that the net payment of the principal of and interest on the Swiss Franc Notes to a holder who is not a United States person for United States federal income tax purposes, including additional amounts, after the withholding or deduction, will not be less than the amount provided in such Swiss Franc Notes to be then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If, due to certain changes in tax law, Digital Constellation B.V. has or will become obligated to pay additional amounts on the Swiss Franc Notes or if there is a substantial probability that Digital Constellation B.V. will become obligated to pay additional amounts on the Swiss Franc Notes, then Digital Constellation B.V. may, on giving not less than 15 days’ nor more than 45 days’ notice, at its option, redeem the Swiss Franc Notes, in whole but not in part, at a redemption price equal to 100% of the principal amount of the Swiss Franc Notes to be redeemed, together with interest accrued and unpaid, if any,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Certain events are considered events of default, which may result in the accelerated maturity of the Swiss Franc Notes, including: </w:t>
      </w:r>
    </w:p>
    <w:p>
      <w:pPr>
        <w:pStyle w:val="TextBody"/>
        <w:bidi w:val="0"/>
        <w:spacing w:before="0" w:after="0"/>
        <w:jc w:val="left"/>
        <w:rPr/>
      </w:pPr>
      <w:r>
        <w:rPr/>
        <w:t> </w:t>
      </w:r>
    </w:p>
    <w:tbl>
      <w:tblPr>
        <w:tblW w:w="7675" w:type="dxa"/>
        <w:jc w:val="left"/>
        <w:tblInd w:w="0" w:type="dxa"/>
        <w:tblLayout w:type="fixed"/>
        <w:tblCellMar>
          <w:top w:w="0" w:type="dxa"/>
          <w:left w:w="0" w:type="dxa"/>
          <w:bottom w:w="0" w:type="dxa"/>
          <w:right w:w="0" w:type="dxa"/>
        </w:tblCellMar>
      </w:tblPr>
      <w:tblGrid>
        <w:gridCol w:w="75"/>
        <w:gridCol w:w="110"/>
        <w:gridCol w:w="60"/>
        <w:gridCol w:w="74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default for 30 days in payment of any installment of interest under the Swiss Franc Notes;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default in the payment of the principal amount or redemption price due with respect to the Swiss Franc Notes, when the same becomes due and payable; </w:t>
            </w:r>
          </w:p>
        </w:tc>
      </w:tr>
    </w:tbl>
    <w:p>
      <w:pPr>
        <w:pStyle w:val="HorizontalLine"/>
        <w:bidi w:val="0"/>
        <w:jc w:val="left"/>
        <w:rPr/>
      </w:pPr>
      <w:r>
        <w:br w:type="page"/>
      </w: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Digital Constellation B.V.’s, Digital Realty Trust, Inc.’s, Digital Intrepid Holding B.V.’s or the operating partnership’s failure to comply with any of their respective other agreements in the Swiss Franc Notes or the Conditions upon receipt by Digital Constellation B.V., Digital Realty Trust, Inc., Digital Intrepid Holding B.V. or the operating partnership of notice of such default from the noteholders’ representative or from holders of not less than 25% in aggregate principal amount of the Swiss Franc Notes then outstanding and Digital Constellation B.V.’s, Digital Realty Trust, Inc.’s, Digital Intrepid Holding B.V.’s or the operating partnership’s failure to cure (or obtain a waiver of) such default within 90 days after receipt of such notice;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failure to pay any indebtedness (other than non-recourse indebtedness) that is (a) of Digital Constellation B.V., Digital Realty Trust, Inc., the operating partnership, Digital Intrepid Holding B.V., any subsidiary in which the operating partnership has invested at least $125,000,000 in capital, which we refer to as a Significant Subsidiary, or any entity in which the operating partnership is the general partner, and (b) in an outstanding principal amount in excess of $125,000,000 at final maturity or upon acceleration after the expiration of any applicable grace period, which indebtedness (other than non-recourse indebtedness) is not discharged, or such default in payment or acceleration is not cured or rescinded, within 60 days after written notice to Digital Constellation B.V. from the noteholders’ representative (or to Digital Constellation B.V. and the noteholders’ representative from holders of at least 25% in principal amount of the outstanding Swiss Franc Notes);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of bankruptcy, insolvency or reorganization, or court appointment of a receiver, liquidator or trustee of Digital Constellation B.V., Digital Realty Trust, Inc., the operating partnership, Digital Intrepid Holding B.V. or any Significant Subsidiary or any substantial part of their respective property.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7.01. Regulation FD Disclosure. </w:t>
      </w:r>
    </w:p>
    <w:p>
      <w:pPr>
        <w:pStyle w:val="TextBody"/>
        <w:bidi w:val="0"/>
        <w:spacing w:before="120" w:after="0"/>
        <w:jc w:val="left"/>
        <w:rPr>
          <w:rFonts w:ascii="Times New Roman" w:hAnsi="Times New Roman"/>
          <w:sz w:val="20"/>
        </w:rPr>
      </w:pPr>
      <w:r>
        <w:rPr>
          <w:rFonts w:ascii="Times New Roman" w:hAnsi="Times New Roman"/>
          <w:sz w:val="20"/>
        </w:rPr>
        <w:t>On October 6, 2026, Digital Realty issued a press release announcing the closing of the Swiss Franc Notes described under Item 1.01 above. A copy of the press release is furnished as Exhibit 99.1 to this Current Report on Form 8-K.</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included in this Current Report on Form 8-K under this Item 7.01 (including Exhibit 99.1) shall not be deemed “filed” for the purposes of Section 18 of the Securities Exchange Act of 1934, as amended (the “Exchange Act”), or otherwise subject to the liabilities of that section, nor shall it be deemed incorporated by reference into any filing made by the company or the operating partnership under the Exchange Act or the Securities Act, except as shall be expressly set forth by specific reference in such a filing.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8665" w:type="dxa"/>
        <w:jc w:val="left"/>
        <w:tblInd w:w="0" w:type="dxa"/>
        <w:tblLayout w:type="fixed"/>
        <w:tblCellMar>
          <w:top w:w="0" w:type="dxa"/>
          <w:left w:w="0" w:type="dxa"/>
          <w:bottom w:w="0" w:type="dxa"/>
          <w:right w:w="0" w:type="dxa"/>
        </w:tblCellMar>
      </w:tblPr>
      <w:tblGrid>
        <w:gridCol w:w="860"/>
        <w:gridCol w:w="120"/>
        <w:gridCol w:w="7685"/>
      </w:tblGrid>
      <w:tr>
        <w:trPr/>
        <w:tc>
          <w:tcPr>
            <w:tcW w:w="8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120" w:type="dxa"/>
            <w:tcBorders/>
            <w:vAlign w:val="center"/>
          </w:tcPr>
          <w:p>
            <w:pPr>
              <w:pStyle w:val="TableContents"/>
              <w:bidi w:val="0"/>
              <w:spacing w:before="0" w:after="283"/>
              <w:jc w:val="left"/>
              <w:rPr/>
            </w:pPr>
            <w:r>
              <w:rPr/>
              <w:t>  </w:t>
            </w:r>
          </w:p>
        </w:tc>
        <w:tc>
          <w:tcPr>
            <w:tcW w:w="76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86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4.1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191285dex41.htm">
              <w:r>
                <w:rPr>
                  <w:rStyle w:val="InternetLink"/>
                </w:rPr>
                <w:t xml:space="preserve">Terms and Conditions dated as of October 2, 2026 </w:t>
              </w:r>
            </w:hyperlink>
          </w:p>
        </w:tc>
      </w:tr>
      <w:tr>
        <w:trPr/>
        <w:tc>
          <w:tcPr>
            <w:tcW w:w="86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4.2</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191285dex42.htm">
              <w:r>
                <w:rPr>
                  <w:rStyle w:val="InternetLink"/>
                </w:rPr>
                <w:t xml:space="preserve">Form of the 2029 Notes. </w:t>
              </w:r>
            </w:hyperlink>
          </w:p>
        </w:tc>
      </w:tr>
      <w:tr>
        <w:trPr/>
        <w:tc>
          <w:tcPr>
            <w:tcW w:w="86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4.3</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191285dex43.htm">
              <w:r>
                <w:rPr>
                  <w:rStyle w:val="InternetLink"/>
                </w:rPr>
                <w:t xml:space="preserve">Form of the 2032 Notes. </w:t>
              </w:r>
            </w:hyperlink>
          </w:p>
        </w:tc>
      </w:tr>
      <w:tr>
        <w:trPr/>
        <w:tc>
          <w:tcPr>
            <w:tcW w:w="86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4.4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191285dex44.htm">
              <w:r>
                <w:rPr>
                  <w:rStyle w:val="InternetLink"/>
                </w:rPr>
                <w:t xml:space="preserve">Form of the 2036 Notes. </w:t>
              </w:r>
            </w:hyperlink>
          </w:p>
        </w:tc>
      </w:tr>
      <w:tr>
        <w:trPr/>
        <w:tc>
          <w:tcPr>
            <w:tcW w:w="86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191285dex991.htm">
              <w:r>
                <w:rPr>
                  <w:rStyle w:val="InternetLink"/>
                </w:rPr>
                <w:t xml:space="preserve">Press Release of Digital Realty dated October 6, 2026. </w:t>
              </w:r>
            </w:hyperlink>
          </w:p>
        </w:tc>
      </w:tr>
      <w:tr>
        <w:trPr/>
        <w:tc>
          <w:tcPr>
            <w:tcW w:w="860"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registrants have duly caused this report to be signed on their behalf by the undersigned hereunto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Date: October 6, 2026 </w:t>
      </w:r>
    </w:p>
    <w:p>
      <w:pPr>
        <w:pStyle w:val="TextBody"/>
        <w:bidi w:val="0"/>
        <w:spacing w:before="0" w:after="0"/>
        <w:jc w:val="left"/>
        <w:rPr/>
      </w:pPr>
      <w:r>
        <w:rPr/>
        <w:t> </w:t>
      </w:r>
    </w:p>
    <w:tbl>
      <w:tblPr>
        <w:tblW w:w="6295" w:type="dxa"/>
        <w:jc w:val="left"/>
        <w:tblInd w:w="0" w:type="dxa"/>
        <w:tblLayout w:type="fixed"/>
        <w:tblCellMar>
          <w:top w:w="0" w:type="dxa"/>
          <w:left w:w="0" w:type="dxa"/>
          <w:bottom w:w="0" w:type="dxa"/>
          <w:right w:w="0" w:type="dxa"/>
        </w:tblCellMar>
      </w:tblPr>
      <w:tblGrid>
        <w:gridCol w:w="380"/>
        <w:gridCol w:w="60"/>
        <w:gridCol w:w="5855"/>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55" w:type="dxa"/>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b/>
              </w:rPr>
            </w:pPr>
            <w:r>
              <w:rPr>
                <w:b/>
              </w:rPr>
              <w:t>Digital Realty Trust, Inc.</w:t>
            </w:r>
          </w:p>
        </w:tc>
      </w:tr>
      <w:tr>
        <w:trPr/>
        <w:tc>
          <w:tcPr>
            <w:tcW w:w="380" w:type="dxa"/>
            <w:tcBorders/>
            <w:vAlign w:val="center"/>
          </w:tcPr>
          <w:p>
            <w:pPr>
              <w:pStyle w:val="TableContents"/>
              <w:bidi w:val="0"/>
              <w:spacing w:before="0" w:after="283"/>
              <w:jc w:val="left"/>
              <w:rPr>
                <w:sz w:val="4"/>
                <w:szCs w:val="4"/>
              </w:rPr>
            </w:pPr>
            <w:r>
              <w:rPr>
                <w:sz w:val="4"/>
                <w:szCs w:val="4"/>
              </w:rPr>
            </w:r>
          </w:p>
        </w:tc>
        <w:tc>
          <w:tcPr>
            <w:tcW w:w="5915"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pPr>
            <w:r>
              <w:rPr/>
              <w:t>/s/ JEANNIE LEE</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b/>
              </w:rPr>
            </w:pPr>
            <w:r>
              <w:rPr>
                <w:b/>
              </w:rPr>
              <w:t>Jeannie Lee</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b/>
              </w:rPr>
            </w:pPr>
            <w:r>
              <w:rPr>
                <w:b/>
              </w:rPr>
              <w:t>Executive Vice President, General Counsel and Secretary</w:t>
            </w:r>
          </w:p>
        </w:tc>
      </w:tr>
      <w:tr>
        <w:trPr/>
        <w:tc>
          <w:tcPr>
            <w:tcW w:w="380" w:type="dxa"/>
            <w:tcBorders/>
            <w:vAlign w:val="center"/>
          </w:tcPr>
          <w:p>
            <w:pPr>
              <w:pStyle w:val="TableContents"/>
              <w:bidi w:val="0"/>
              <w:spacing w:before="0" w:after="283"/>
              <w:jc w:val="left"/>
              <w:rPr>
                <w:sz w:val="4"/>
                <w:szCs w:val="4"/>
              </w:rPr>
            </w:pPr>
            <w:r>
              <w:rPr>
                <w:sz w:val="4"/>
                <w:szCs w:val="4"/>
              </w:rPr>
            </w:r>
          </w:p>
        </w:tc>
        <w:tc>
          <w:tcPr>
            <w:tcW w:w="5915"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b/>
              </w:rPr>
            </w:pPr>
            <w:r>
              <w:rPr>
                <w:b/>
              </w:rPr>
              <w:t>Digital Realty Trust, L.P.</w:t>
            </w:r>
          </w:p>
        </w:tc>
      </w:tr>
      <w:tr>
        <w:trPr/>
        <w:tc>
          <w:tcPr>
            <w:tcW w:w="380" w:type="dxa"/>
            <w:tcBorders/>
            <w:vAlign w:val="center"/>
          </w:tcPr>
          <w:p>
            <w:pPr>
              <w:pStyle w:val="TableContents"/>
              <w:bidi w:val="0"/>
              <w:spacing w:before="0" w:after="283"/>
              <w:jc w:val="left"/>
              <w:rPr>
                <w:sz w:val="4"/>
                <w:szCs w:val="4"/>
              </w:rPr>
            </w:pPr>
            <w:r>
              <w:rPr>
                <w:sz w:val="4"/>
                <w:szCs w:val="4"/>
              </w:rPr>
            </w:r>
          </w:p>
        </w:tc>
        <w:tc>
          <w:tcPr>
            <w:tcW w:w="5915"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pPr>
            <w:r>
              <w:rPr/>
              <w:t>Digital Realty Trust, Inc.</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pPr>
            <w:r>
              <w:rPr/>
              <w:t>Its general partner</w:t>
            </w:r>
          </w:p>
        </w:tc>
      </w:tr>
      <w:tr>
        <w:trPr/>
        <w:tc>
          <w:tcPr>
            <w:tcW w:w="380" w:type="dxa"/>
            <w:tcBorders/>
            <w:vAlign w:val="center"/>
          </w:tcPr>
          <w:p>
            <w:pPr>
              <w:pStyle w:val="TableContents"/>
              <w:bidi w:val="0"/>
              <w:spacing w:before="0" w:after="283"/>
              <w:jc w:val="left"/>
              <w:rPr>
                <w:sz w:val="4"/>
                <w:szCs w:val="4"/>
              </w:rPr>
            </w:pPr>
            <w:r>
              <w:rPr>
                <w:sz w:val="4"/>
                <w:szCs w:val="4"/>
              </w:rPr>
            </w:r>
          </w:p>
        </w:tc>
        <w:tc>
          <w:tcPr>
            <w:tcW w:w="5915"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pPr>
            <w:r>
              <w:rPr/>
              <w:t>/s/ JEANNIE LEE</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b/>
              </w:rPr>
            </w:pPr>
            <w:r>
              <w:rPr>
                <w:b/>
              </w:rPr>
              <w:t>Jeannie Lee</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283"/>
              <w:jc w:val="left"/>
              <w:rPr>
                <w:b/>
              </w:rPr>
            </w:pPr>
            <w:r>
              <w:rPr>
                <w:b/>
              </w:rPr>
              <w:t>Executive Vice President, General Counsel and Secretary</w:t>
            </w:r>
          </w:p>
        </w:tc>
      </w:tr>
    </w:tbl>
    <w:p>
      <w:pPr>
        <w:pStyle w:val="TextBody"/>
        <w:bidi w:val="0"/>
        <w:spacing w:before="0" w:after="0"/>
        <w:jc w:val="right"/>
        <w:rPr>
          <w:rFonts w:ascii="Times New Roman" w:hAnsi="Times New Roman"/>
          <w:b/>
          <w:sz w:val="20"/>
        </w:rPr>
      </w:pPr>
      <w:bookmarkStart w:id="2" w:name="d191285dex41.htm"/>
      <w:bookmarkStart w:id="3" w:name="ksd191285dex41"/>
      <w:bookmarkEnd w:id="2"/>
      <w:bookmarkEnd w:id="3"/>
      <w:r>
        <w:rPr>
          <w:rFonts w:ascii="Times New Roman" w:hAnsi="Times New Roman"/>
          <w:b/>
          <w:sz w:val="20"/>
        </w:rPr>
        <w:t xml:space="preserve">Exhibit 4.1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TERMS AND CONDITIONS OF THE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Amount, Form, Denomination, Custodianship and Transfer of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2029 notes, 2032 notes and 2036 notes will be issued in aggregate principal amounts of CHF 225,000,000, CHF 185,000,000 and CHF 100,000,000, respectively. The notes will be issued with minimum denominations of CHF5,000 and integral multiples thereof. The Swiss Security Code, ISIN and Common Code for the 2029 notes will be 160960524, CH1609605246 and 352949531, respectively, the Swiss Security Code, ISIN and Common Code for the 2032 notes will be 160960525, CH1609605253 and 352949647, respectively, and the Swiss Security Code, ISIN and Common Code for the 2036 notes will be 160960526, CH1609605261 and 352949752,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Digital Constellation B.V. (the “</w:t>
            </w:r>
            <w:r>
              <w:rPr>
                <w:rFonts w:ascii="Times New Roman" w:hAnsi="Times New Roman"/>
                <w:i/>
                <w:sz w:val="20"/>
              </w:rPr>
              <w:t>Issuer</w:t>
            </w:r>
            <w:r>
              <w:rPr>
                <w:rFonts w:ascii="Times New Roman" w:hAnsi="Times New Roman"/>
                <w:sz w:val="20"/>
              </w:rPr>
              <w:t>”) reserves the right to reopen and increase the aggregate principal amount of the notes issued at any time and without prior consultation or permission of the holders of the notes (the “</w:t>
            </w:r>
            <w:r>
              <w:rPr>
                <w:rFonts w:ascii="Times New Roman" w:hAnsi="Times New Roman"/>
                <w:i/>
                <w:sz w:val="20"/>
              </w:rPr>
              <w:t>Noteholders</w:t>
            </w:r>
            <w:r>
              <w:rPr>
                <w:rFonts w:ascii="Times New Roman" w:hAnsi="Times New Roman"/>
                <w:sz w:val="20"/>
              </w:rPr>
              <w:t>” and, individually, a “</w:t>
            </w:r>
            <w:r>
              <w:rPr>
                <w:rFonts w:ascii="Times New Roman" w:hAnsi="Times New Roman"/>
                <w:i/>
                <w:sz w:val="20"/>
              </w:rPr>
              <w:t>Noteholder</w:t>
            </w:r>
            <w:r>
              <w:rPr>
                <w:rFonts w:ascii="Times New Roman" w:hAnsi="Times New Roman"/>
                <w:sz w:val="20"/>
              </w:rPr>
              <w:t xml:space="preserve">”) through the issuance of further notes which will be fungible with the notes (i.e., identical in respect of these Terms and Conditions of the notes, security number, final maturity and interest 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Each series of notes is documented in the form of a permanent global certificate (</w:t>
            </w:r>
            <w:r>
              <w:rPr>
                <w:rFonts w:ascii="Times New Roman" w:hAnsi="Times New Roman"/>
                <w:i/>
                <w:sz w:val="20"/>
              </w:rPr>
              <w:t>Globalurkunde auf Dauer</w:t>
            </w:r>
            <w:r>
              <w:rPr>
                <w:rFonts w:ascii="Times New Roman" w:hAnsi="Times New Roman"/>
                <w:sz w:val="20"/>
              </w:rPr>
              <w:t>)(the “</w:t>
            </w:r>
            <w:r>
              <w:rPr>
                <w:rFonts w:ascii="Times New Roman" w:hAnsi="Times New Roman"/>
                <w:i/>
                <w:sz w:val="20"/>
              </w:rPr>
              <w:t>Permanent Global Certificate</w:t>
            </w:r>
            <w:r>
              <w:rPr>
                <w:rFonts w:ascii="Times New Roman" w:hAnsi="Times New Roman"/>
                <w:sz w:val="20"/>
              </w:rPr>
              <w:t>”) in bearer form. Such Permanent Global Certificate shall be deposited by UBS AG, Bahnhofstrasse 45, 8001 Zurich, Switzerland, acting as principal paying agent with respect to the notes (the “</w:t>
            </w:r>
            <w:r>
              <w:rPr>
                <w:rFonts w:ascii="Times New Roman" w:hAnsi="Times New Roman"/>
                <w:i/>
                <w:sz w:val="20"/>
              </w:rPr>
              <w:t>Principal Paying Agent</w:t>
            </w:r>
            <w:r>
              <w:rPr>
                <w:rFonts w:ascii="Times New Roman" w:hAnsi="Times New Roman"/>
                <w:sz w:val="20"/>
              </w:rPr>
              <w:t>”) with SIX SIS Ltd, Baslerstrasse 100, 4600 Olten, Switzerland, or any successor organization (the “</w:t>
            </w:r>
            <w:r>
              <w:rPr>
                <w:rFonts w:ascii="Times New Roman" w:hAnsi="Times New Roman"/>
                <w:i/>
                <w:sz w:val="20"/>
              </w:rPr>
              <w:t>SIX SIS</w:t>
            </w:r>
            <w:r>
              <w:rPr>
                <w:rFonts w:ascii="Times New Roman" w:hAnsi="Times New Roman"/>
                <w:sz w:val="20"/>
              </w:rPr>
              <w:t>”) recognized by SIX Swiss Exchange Ltd, Selnaustrasse 30, 8001 Zurich, Switzerland (P.O. Box 1758, 8021 Zurich, Switzerland) or any successor exchange (the “</w:t>
            </w:r>
            <w:r>
              <w:rPr>
                <w:rFonts w:ascii="Times New Roman" w:hAnsi="Times New Roman"/>
                <w:i/>
                <w:sz w:val="20"/>
              </w:rPr>
              <w:t>SIX Swiss Exchange</w:t>
            </w:r>
            <w:r>
              <w:rPr>
                <w:rFonts w:ascii="Times New Roman" w:hAnsi="Times New Roman"/>
                <w:sz w:val="20"/>
              </w:rPr>
              <w:t>”) for the entire duration of the notes and until their maturity date unless earlier redeemed, except as provided in this Condition 1 (</w:t>
            </w:r>
            <w:r>
              <w:rPr>
                <w:rFonts w:ascii="Times New Roman" w:hAnsi="Times New Roman"/>
                <w:i/>
                <w:sz w:val="20"/>
              </w:rPr>
              <w:t>Amount, Form, Denomination, Custodianship and Transfer of the Notes</w:t>
            </w:r>
            <w:r>
              <w:rPr>
                <w:rFonts w:ascii="Times New Roman" w:hAnsi="Times New Roman"/>
                <w:sz w:val="20"/>
              </w:rPr>
              <w:t>). As a matter of Swiss law, once the Permanent Global Certificate is deposited with SIX SIS and the notes are entered into the account of one or more participants in SIX SIS, the notes shall constitute intermediated securities (</w:t>
            </w:r>
            <w:r>
              <w:rPr>
                <w:rFonts w:ascii="Times New Roman" w:hAnsi="Times New Roman"/>
                <w:i/>
                <w:sz w:val="20"/>
              </w:rPr>
              <w:t>Bucheffekten</w:t>
            </w:r>
            <w:r>
              <w:rPr>
                <w:rFonts w:ascii="Times New Roman" w:hAnsi="Times New Roman"/>
                <w:sz w:val="20"/>
              </w:rPr>
              <w:t>) in accordance with the provisions of the Swiss Federal Intermediated Securities Act (</w:t>
            </w:r>
            <w:r>
              <w:rPr>
                <w:rFonts w:ascii="Times New Roman" w:hAnsi="Times New Roman"/>
                <w:i/>
                <w:sz w:val="20"/>
              </w:rPr>
              <w:t>Bucheffektengesetz</w:t>
            </w:r>
            <w:r>
              <w:rPr>
                <w:rFonts w:ascii="Times New Roman" w:hAnsi="Times New Roman"/>
                <w:sz w:val="20"/>
              </w:rPr>
              <w:t>). On behalf of the Issuer, SIX SIS shall maintain records of the number of notes held through each participant in SIX SIS for the entire duration of the notes and until their maturity date unless earlier redeemed, except as provided in this Condition 1 (</w:t>
            </w:r>
            <w:r>
              <w:rPr>
                <w:rFonts w:ascii="Times New Roman" w:hAnsi="Times New Roman"/>
                <w:i/>
                <w:sz w:val="20"/>
              </w:rPr>
              <w:t>Amount, Form, Denomination, Custodianship and Transfer of the Notes</w:t>
            </w:r>
            <w:r>
              <w:rPr>
                <w:rFonts w:ascii="Times New Roman" w:hAnsi="Times New Roman"/>
                <w:sz w:val="20"/>
              </w:rPr>
              <w:t xml:space="preserve">). The notes in the form of intermediated securities may only be transferred by the entry of the transferred notes in a securities account of the transferee in accordance with the Swiss Federal Intermediated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records of SIX SIS will determine the number of notes held through each participant in SIX SIS. In respect of notes held in the form of intermediated securities, the Noteholders will be the persons holding the notes in a securities account (</w:t>
            </w:r>
            <w:r>
              <w:rPr>
                <w:rFonts w:ascii="Times New Roman" w:hAnsi="Times New Roman"/>
                <w:i/>
                <w:sz w:val="20"/>
              </w:rPr>
              <w:t>Effektenkonto</w:t>
            </w:r>
            <w:r>
              <w:rPr>
                <w:rFonts w:ascii="Times New Roman" w:hAnsi="Times New Roman"/>
                <w:sz w:val="20"/>
              </w:rPr>
              <w:t>) which is in their name, or in case of intermediaries (</w:t>
            </w:r>
            <w:r>
              <w:rPr>
                <w:rFonts w:ascii="Times New Roman" w:hAnsi="Times New Roman"/>
                <w:i/>
                <w:sz w:val="20"/>
              </w:rPr>
              <w:t>Verwahrungsstellen</w:t>
            </w:r>
            <w:r>
              <w:rPr>
                <w:rFonts w:ascii="Times New Roman" w:hAnsi="Times New Roman"/>
                <w:sz w:val="20"/>
              </w:rPr>
              <w:t xml:space="preserve">), the intermediaries holding the notes for their own account in a securities account which is in their name.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(e)</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Neither the Issuer nor the Noteholders shall at any time have the right to effect or demand the conversion of the Permanent Global Certificate into, or the delivery of, notes as uncertificated securities (</w:t>
            </w:r>
            <w:r>
              <w:rPr>
                <w:rFonts w:ascii="Times New Roman" w:hAnsi="Times New Roman"/>
                <w:i/>
                <w:sz w:val="20"/>
              </w:rPr>
              <w:t>Wertrechte</w:t>
            </w:r>
            <w:r>
              <w:rPr>
                <w:rFonts w:ascii="Times New Roman" w:hAnsi="Times New Roman"/>
                <w:sz w:val="20"/>
              </w:rPr>
              <w:t>) or individually certificated securities (</w:t>
            </w:r>
            <w:r>
              <w:rPr>
                <w:rFonts w:ascii="Times New Roman" w:hAnsi="Times New Roman"/>
                <w:i/>
                <w:sz w:val="20"/>
              </w:rPr>
              <w:t>Wertpapiere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(f)</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To the extent that SIX SIS is no longer able to act as depositary, the Principal Paying Agent, in consultation with the Issuer, will deposit the notes with another recognized depositary in accordance with the provisions of the Swiss Federal Intermediated Securities Act (</w:t>
            </w:r>
            <w:r>
              <w:rPr>
                <w:rFonts w:ascii="Times New Roman" w:hAnsi="Times New Roman"/>
                <w:i/>
                <w:sz w:val="20"/>
              </w:rPr>
              <w:t>Bucheffektengesetz</w:t>
            </w:r>
            <w:r>
              <w:rPr>
                <w:rFonts w:ascii="Times New Roman" w:hAnsi="Times New Roman"/>
                <w:sz w:val="20"/>
              </w:rPr>
              <w:t>) and such depositary shall be subject to all the obligations and requirements that apply to SIX SIS in respect of the notes. Individually certificated securities shall be issued only when no such depositary can be procured, and if they are to be issued, such securities will not be issued in bearer form, but exclusively in registered form such that the notes qualify as being in “registered form” for United States federal income tax purposes whereby, inter alia, (i) the noteholders of the individually certificated securities shall be registered in a register (the “</w:t>
            </w:r>
            <w:r>
              <w:rPr>
                <w:rFonts w:ascii="Times New Roman" w:hAnsi="Times New Roman"/>
                <w:i/>
                <w:sz w:val="20"/>
              </w:rPr>
              <w:t>Register</w:t>
            </w:r>
            <w:r>
              <w:rPr>
                <w:rFonts w:ascii="Times New Roman" w:hAnsi="Times New Roman"/>
                <w:sz w:val="20"/>
              </w:rPr>
              <w:t>”) to be established and maintained by a registrar (the “</w:t>
            </w:r>
            <w:r>
              <w:rPr>
                <w:rFonts w:ascii="Times New Roman" w:hAnsi="Times New Roman"/>
                <w:i/>
                <w:sz w:val="20"/>
              </w:rPr>
              <w:t>Registrar</w:t>
            </w:r>
            <w:r>
              <w:rPr>
                <w:rFonts w:ascii="Times New Roman" w:hAnsi="Times New Roman"/>
                <w:sz w:val="20"/>
              </w:rPr>
              <w:t xml:space="preserve">”) appointed by the Issuer and acting on its behalf after consultation with the Principal Paying Agent and duly notified to the Noteholders in accordance with these Terms and Conditions, (ii) no transfer of the individually certificated securities shall be valid unless and until entered into the Register and (iii) any other requirement is satisfied to ensure that the notes are treated as issued exclusively in registered form under Section 5f.103-1(c) of the United States Treasury Regulations and Section 1.163-5(b) of the Proposed United States Treasury Regulations (or any successor provisions).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2.</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Guarantees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Digital Realty Trust, Inc., Digital Realty Trust, L.P. and Digital Intrepid Holding B.V. (the “</w:t>
            </w:r>
            <w:r>
              <w:rPr>
                <w:rFonts w:ascii="Times New Roman" w:hAnsi="Times New Roman"/>
                <w:i/>
                <w:sz w:val="20"/>
              </w:rPr>
              <w:t>Guarantors</w:t>
            </w:r>
            <w:r>
              <w:rPr>
                <w:rFonts w:ascii="Times New Roman" w:hAnsi="Times New Roman"/>
                <w:sz w:val="20"/>
              </w:rPr>
              <w:t>” and each, a “</w:t>
            </w:r>
            <w:r>
              <w:rPr>
                <w:rFonts w:ascii="Times New Roman" w:hAnsi="Times New Roman"/>
                <w:i/>
                <w:sz w:val="20"/>
              </w:rPr>
              <w:t>Guarantor</w:t>
            </w:r>
            <w:r>
              <w:rPr>
                <w:rFonts w:ascii="Times New Roman" w:hAnsi="Times New Roman"/>
                <w:sz w:val="20"/>
              </w:rPr>
              <w:t>”) each fully and unconditionally guarantee (the “</w:t>
            </w:r>
            <w:r>
              <w:rPr>
                <w:rFonts w:ascii="Times New Roman" w:hAnsi="Times New Roman"/>
                <w:i/>
                <w:sz w:val="20"/>
              </w:rPr>
              <w:t>Guarantees</w:t>
            </w:r>
            <w:r>
              <w:rPr>
                <w:rFonts w:ascii="Times New Roman" w:hAnsi="Times New Roman"/>
                <w:sz w:val="20"/>
              </w:rPr>
              <w:t>” and each, a “</w:t>
            </w:r>
            <w:r>
              <w:rPr>
                <w:rFonts w:ascii="Times New Roman" w:hAnsi="Times New Roman"/>
                <w:i/>
                <w:sz w:val="20"/>
              </w:rPr>
              <w:t>Guarantee</w:t>
            </w:r>
            <w:r>
              <w:rPr>
                <w:rFonts w:ascii="Times New Roman" w:hAnsi="Times New Roman"/>
                <w:sz w:val="20"/>
              </w:rPr>
              <w:t>”) the Issuer’s obligations under the notes on a senior unsecured basis, to each Noteholder and its successors and assigns that: (i) the principal of (including the redemption price upon redemption pursuant to Conditions 6 and 7), and premium, if any, and interest on the notes shall be duly and punctually paid in full when due, whether at the maturity date, upon acceleration, upon redemption, upon repurchase or otherwise, and interest on overdue principal and premium, if any, and (to the extent permitted by law) interest on any interest, if any, on the notes and all other obligations of the Issuer to the Noteholders or the Noteholders’ Representative hereunder or under the notes (including fees, expenses or other) shall be promptly paid in full or performed, all in accordance with the terms hereof; and (ii) in case of any extension of time of payment or renewal of any notes or any of such other obligations, the same shall be promptly paid in full when due or performed in accordance with the terms of the extension or renewal, whether at the maturity date, by acceleration, call for redemption or otherwise, subject, however, in the case of clauses (i) and (ii) above, to the limitations set forth herein (collectively, the “</w:t>
            </w:r>
            <w:r>
              <w:rPr>
                <w:rFonts w:ascii="Times New Roman" w:hAnsi="Times New Roman"/>
                <w:i/>
                <w:sz w:val="20"/>
              </w:rPr>
              <w:t>Guarantee Obligations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Guarantees shall be senior unsecured obligations of Digital Realty Trust, Inc., Digital Realty Trust, L.P. and Digital Intrepid Holding B.V. and will rank equally in right of payment with other senior unsecured obligations of Digital Realty Trust, Inc., Digital Realty Trust, L.P. and Digital Intrepid Holding B.V. However, each Guarantee shall be effectively subordinated in right of payment to all of the applicable Guarantor’s existing and future secured indebtedness (to the extent of the collateral securing the same) and to all existing and future liabilities and preferred equity, whether secured or unsecured, of the applicable Guarantor’s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Guarantor, and by its acceptance hereof each Noteholder, hereby confirms that it is the intention of all such parties that the Guarantee Obligations of such Guarantor pursuant to its Guarantee not constitute a fraudulent transfer or conveyance for purposes of any Bankruptcy Law, the Uniform Fraudulent Conveyance Act, the Uniform Fraudulent Transfer Act or any similar federal or state law. To effectuate the foregoing intention, the Noteholders and each Guarantor hereby irrevocably agree that the Guarantee Obligations of each Guarantor under this Condition 2 shall be limited to the maximum amount as shall, after giving effect to all other contingent and fixed liabilities of such Guarantor, result in the Guarantee Obligations of such Guarantor under the Guarantee not constituting a fraudulent transfer or conveyance.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Guarantor hereby covenants and agrees, to the fullest extent that it may do so under applicable law, that in the event of the insolvency, bankruptcy, dissolution, liquidation or reorganization of the Issuer, such Guarantor shall not file (or join in any filing of), or otherwise seek to participate in the filing of, any motion or request seeking to stay or to prohibit (even temporarily) execution on the Guarantee and hereby waives and agrees not to take the benefit of any such stay of execution, whether under Section 362 or 105 of the Bankruptcy Law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Subject to the provisions of this Condition 2, each Guarantor hereby agrees that its Guarantee hereunder shall be unconditional, irrespective of the validity, regularity or enforceability of the notes or these Terms and Conditions, the absence of any action to enforce the same, any waiver or consent by any Noteholder with respect to any thereof, the entry of any judgment against the Issuer, any action to enforce the same or any other circumstance which might otherwise constitute a legal or equitable discharge or defense of such Guarantor. Each Guarantor hereby waives and relinquishes: (a) any right to require the Noteholder’s Representative, the Noteholders or the Issuer (each, a “</w:t>
            </w:r>
            <w:r>
              <w:rPr>
                <w:rFonts w:ascii="Times New Roman" w:hAnsi="Times New Roman"/>
                <w:i/>
                <w:sz w:val="20"/>
              </w:rPr>
              <w:t>Benefited Party</w:t>
            </w:r>
            <w:r>
              <w:rPr>
                <w:rFonts w:ascii="Times New Roman" w:hAnsi="Times New Roman"/>
                <w:sz w:val="20"/>
              </w:rPr>
              <w:t xml:space="preserve">”) to proceed against the Issuer or any other Person or to proceed against or exhaust any security held by a Benefited Party at any time or to pursue any other remedy in any secured party’s power before proceeding against such Guarantor; (b) any defense that may arise by reason of the incapacity, lack of authority, death or disability of any other Person or Persons or the failure of a Benefited Party to file or enforce a claim against the estate (in administration, bankruptcy or any other proceeding) of any other Person or Persons; (c) demand, protest and notice of any kind (except as expressly required by these Terms and Conditions), including but not limited to notice of the existence, creation or incurring of any new or additional indebtedness or obligation or of any action or non-action on the part of such Guarantor, the Issuer, any Benefited Party,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vAlign w:val="center"/>
          </w:tcPr>
          <w:p>
            <w:pPr>
              <w:pStyle w:val="TableContents"/>
              <w:bidi w:val="0"/>
              <w:spacing w:before="0" w:after="283"/>
              <w:jc w:val="left"/>
              <w:rPr/>
            </w:pPr>
            <w:r>
              <w:rPr/>
              <w:t> </w:t>
            </w:r>
          </w:p>
        </w:tc>
        <w:tc>
          <w:tcPr>
            <w:tcW w:w="9797" w:type="dxa"/>
            <w:tcBorders/>
          </w:tcPr>
          <w:p>
            <w:pPr>
              <w:pStyle w:val="TableContents"/>
              <w:bidi w:val="0"/>
              <w:spacing w:before="0" w:after="283"/>
              <w:jc w:val="left"/>
              <w:rPr/>
            </w:pPr>
            <w:r>
              <w:rPr/>
              <w:t xml:space="preserve">any creditor of such Guarantor or the Issuer or on the part of any other Person whomsoever in connection with any obligations the performance of which are hereby guaranteed; (d) any defense based upon an election of remedies by a Benefited Party, including but not limited to an election to proceed against such Guarantor for reimbursement; (e) any defense based upon any statute or rule of law which provides that the obligation of a surety must be neither larger in amount nor in other respects more burdensome than that of the principal; (f) any defense arising because of a Benefited Party’s election, in any proceeding instituted under the Bankruptcy Law, of the application of Section 1111(b)(2) of the Bankruptcy Code; and (g) any defense based on any borrowing or grant of a security interest under Section 364 of the Bankruptcy Code. Each Guarantor hereby covenants that, except as otherwise provided therein, its Guarantee shall not be discharged except by payment in full of all Guarantee Obligations, including the principal of and premium, if any, and interest on the notes and all other costs provided for under these Terms and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(f)</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If any Noteholder or the Noteholders’ Representative is required by any court or otherwise to return to either the Issuer or the Guarantors, or any trustee or similar official acting in relation to either the Issuer or the Guarantors, any amount paid by the Issuer or the Guarantors to the Noteholders’ Representative or such Noteholder, the Guarantee, to the extent theretofore discharged, shall be reinstated in full force and effect. Each Guarantor agrees that it shall not be entitled to any right of subrogation in relation to the Noteholders in respect of any Guarantee Obligations hereby until payment in full of all such obligations guaranteed hereby. Each Guarantor agrees that, as between it, on the one hand, and the Noteholders and the Noteholders’ Representative, on the other hand, (x) the maturity of the obligations guaranteed hereby may be accelerated as provided in Condition 14 (</w:t>
            </w:r>
            <w:r>
              <w:rPr>
                <w:rFonts w:ascii="Times New Roman" w:hAnsi="Times New Roman"/>
                <w:i/>
                <w:sz w:val="20"/>
              </w:rPr>
              <w:t>Events of Default</w:t>
            </w:r>
            <w:r>
              <w:rPr>
                <w:rFonts w:ascii="Times New Roman" w:hAnsi="Times New Roman"/>
                <w:sz w:val="20"/>
              </w:rPr>
              <w:t>) hereof for the purposes hereof, notwithstanding any stay, injunction or other prohibition preventing such acceleration in respect of the Guarantee Obligations, and (y) in the event of any acceleration of such obligations as provided in Condition 14 (</w:t>
            </w:r>
            <w:r>
              <w:rPr>
                <w:rFonts w:ascii="Times New Roman" w:hAnsi="Times New Roman"/>
                <w:i/>
                <w:sz w:val="20"/>
              </w:rPr>
              <w:t>Events of Default</w:t>
            </w:r>
            <w:r>
              <w:rPr>
                <w:rFonts w:ascii="Times New Roman" w:hAnsi="Times New Roman"/>
                <w:sz w:val="20"/>
              </w:rPr>
              <w:t xml:space="preserve">) hereof, such Guarantee Obligations (whether or not due and payable) shall forthwith become due and payable by such Guarantor for the purpose of the Guarantee.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3.</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Interest and Paying Convention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Interest on the 2029 notes, the 2032 notes and the 2036 notes will accrue at the rates of 1.6803%, 2.0600% and 2.4150% per year, respectively, in each case from and including October 6, 2026 or the most recent interest payment date to which interest has been paid or provided for, and will be payable annually in arrears on: (i) October 8 of each year, beginning on October 8, 2027 for the 2029 notes, (ii) October 6 of each year, beginning on October 6, 2027 for the 2032 notes, and (iii) October 6 of each year, beginning on October 6, 2027 for the 2036 notes. The interest so payable will be paid to each Noteholder holding the notes in a securities account (</w:t>
            </w:r>
            <w:r>
              <w:rPr>
                <w:rFonts w:ascii="Times New Roman" w:hAnsi="Times New Roman"/>
                <w:i/>
                <w:sz w:val="20"/>
              </w:rPr>
              <w:t>Effektenkonto</w:t>
            </w:r>
            <w:r>
              <w:rPr>
                <w:rFonts w:ascii="Times New Roman" w:hAnsi="Times New Roman"/>
                <w:sz w:val="20"/>
              </w:rPr>
              <w:t>) which is in their name, or in case of intermediaries (</w:t>
            </w:r>
            <w:r>
              <w:rPr>
                <w:rFonts w:ascii="Times New Roman" w:hAnsi="Times New Roman"/>
                <w:i/>
                <w:sz w:val="20"/>
              </w:rPr>
              <w:t>Verwahrungsstellen</w:t>
            </w:r>
            <w:r>
              <w:rPr>
                <w:rFonts w:ascii="Times New Roman" w:hAnsi="Times New Roman"/>
                <w:sz w:val="20"/>
              </w:rPr>
              <w:t xml:space="preserve">), the intermediaries holding the notes for their own account in a securities account which is in their name at the close of business on the day that is one Business Day immediately preceding the applicable interest payment date. If any interest payment date, stated maturity date, redemption date or repurchase date is not a Business Day, the payment otherwise required to be made on such date will be made on the next Business Day without any additional payment as a result of such delay.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(b)</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interest payable in respect of each note for any Interest Period shall be calculated by applying the interest rate to the principal amount of such note and rounding the resulting figure to the nearest cent (half a cent being rounded upwards). Interest will be computed on the basis of twelve 30-day months of a 360-day year.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240" w:after="0"/>
        <w:jc w:val="left"/>
        <w:rPr/>
      </w:pPr>
      <w:r>
        <w:rPr/>
        <w:t>“</w:t>
      </w:r>
      <w:r>
        <w:rPr>
          <w:rFonts w:ascii="Times New Roman" w:hAnsi="Times New Roman"/>
          <w:i/>
          <w:sz w:val="20"/>
        </w:rPr>
        <w:t>Interest Period</w:t>
      </w:r>
      <w:r>
        <w:rPr>
          <w:rFonts w:ascii="Times New Roman" w:hAnsi="Times New Roman"/>
          <w:sz w:val="20"/>
        </w:rPr>
        <w:t xml:space="preserve">” means each period beginning on (and including) the Issue Date or any interest payment date and ending on (but excluding) the next interest payment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Issuer redeems the notes in accordance with the terms of such notes, the Issuer shall pay accrued and unpaid interest and premium, if any, to the holder that surrenders such notes for redemption. However, if a redemption falls after a record date and on or prior to the corresponding interest payment date, the Issuer shall pay the full amount of accrued and unpaid interest and premium, if any, due on such interest payment date to the holder of record at the close of business on the corresponding record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required for the payment of interest on the notes and the principal amount of the notes and any other payments in cash to be made under these Terms and Conditions will be made available in good time in freely disposable CHF, which will be placed at the free disposal of the Principal Paying Agent in Switzerland. If the due date for any payment by the Issuer falls on a day which is not a Business Day, the relevant payment will be made on the first Business Day following such due date. Noteholders will not be entitled to demand additional interest or any other payment in respect of such delay.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(e)</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receipt of the funds in Switzerland and under the same conditions as received, the Principal Paying Agent will arrange for payment to the Noteholders.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(f)</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undertakes that payments shall be made in freely disposable CHF without collection cost to the Noteholders, and, unless otherwise provided for by applicable law, without any restrictions and whatever the circumstances may be, irrespective of nationality, residence or domicile of the Noteholders and without requiring any affidavit or the fulfilment of any other formality, at the counters of the Principal Paying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(g)</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Principal Paying Agent of funds in CHF in Switzerland from the Issuer or a Guarantor shall release the Issuer from its obligations under the notes to the extent of amounts received by the Principal Paying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Maturity </w:t>
            </w:r>
          </w:p>
        </w:tc>
      </w:tr>
    </w:tbl>
    <w:p>
      <w:pPr>
        <w:pStyle w:val="TextBody"/>
        <w:bidi w:val="0"/>
        <w:spacing w:before="120" w:after="0"/>
        <w:jc w:val="left"/>
        <w:rPr>
          <w:rFonts w:ascii="Times New Roman" w:hAnsi="Times New Roman"/>
          <w:sz w:val="20"/>
        </w:rPr>
      </w:pPr>
      <w:r>
        <w:rPr>
          <w:rFonts w:ascii="Times New Roman" w:hAnsi="Times New Roman"/>
          <w:sz w:val="20"/>
        </w:rPr>
        <w:t>The 2029 notes, 2032 notes and 2036 notes shall mature on October 8, 2029, October 6, 2032 and October 6, 2036, respectively, and shall be paid against presentation and surrender thereof at the office of the Principal Paying Agent unless earlier redeemed by the Issuer at its option, in accordance with Condition 6 (</w:t>
      </w:r>
      <w:r>
        <w:rPr>
          <w:rFonts w:ascii="Times New Roman" w:hAnsi="Times New Roman"/>
          <w:i/>
          <w:sz w:val="20"/>
        </w:rPr>
        <w:t>Optional Redemption at the Election of the Issuer</w:t>
      </w:r>
      <w:r>
        <w:rPr>
          <w:rFonts w:ascii="Times New Roman" w:hAnsi="Times New Roman"/>
          <w:sz w:val="20"/>
        </w:rPr>
        <w:t>) and Condition 7 (</w:t>
      </w:r>
      <w:r>
        <w:rPr>
          <w:rFonts w:ascii="Times New Roman" w:hAnsi="Times New Roman"/>
          <w:i/>
          <w:sz w:val="20"/>
        </w:rPr>
        <w:t>Redemption Upon Changes in Withholding Taxes</w:t>
      </w:r>
      <w:r>
        <w:rPr>
          <w:rFonts w:ascii="Times New Roman" w:hAnsi="Times New Roman"/>
          <w:sz w:val="20"/>
        </w:rPr>
        <w:t xml:space="preserve">) below. The notes will not be entitled to the benefits of, or be subject to, any sinking fund.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Status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notes constitute direct, senior unsecured obligations of the Issuer and rank equally in right of payment with all of the Issuer’s other senior unsecured and unsubordinated indebtedness from time to time outstanding. </w:t>
      </w:r>
    </w:p>
    <w:p>
      <w:pPr>
        <w:pStyle w:val="TextBody"/>
        <w:bidi w:val="0"/>
        <w:spacing w:before="120" w:after="0"/>
        <w:jc w:val="left"/>
        <w:rPr>
          <w:rFonts w:ascii="Times New Roman" w:hAnsi="Times New Roman"/>
          <w:sz w:val="20"/>
        </w:rPr>
      </w:pPr>
      <w:r>
        <w:rPr>
          <w:rFonts w:ascii="Times New Roman" w:hAnsi="Times New Roman"/>
          <w:sz w:val="20"/>
        </w:rPr>
        <w:t xml:space="preserve">The Guarantees constitute direct, senior unsecured obligations of Digital Realty Trust, Inc., Digital Realty Trust, L.P. and Digital Intrepid Holding B.V. and rank equally in right of payment with other senior unsecured and unsubordinated obligations of Digital Realty Trust, Inc., Digital Realty Trust, L.P. and Digital Intrepid Holding B.V. from time to time outstanding.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6.</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Optional Redemption at the Election of the Issuer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on or after July 8, 2029 (the date that is three months prior to the scheduled maturity date of the 2029 notes), the Issuer may redeem in whole, but not in part, the 2029 notes then outstanding at a redemption price equal to 100% of the principal amount of the notes to be redeemed, plus accrued and unpaid interest, if any, to, but excluding, the date of redemption. At any time on or after July 6, 2032 (the date that is three months prior to the scheduled maturity date of the 2032 notes), the Issuer may redeem in whole, but not in part, the 2032 notes then outstanding at a redemption price equal to 100% of the principal amount of the notes to be redeemed, plus accrued and unpaid interest, if any, to, but excluding, the date of redemption. At any time on or after July 6, 2036 (the date that is three months prior to the scheduled maturity date of the 2036 notes), the Issuer may redeem in whole, but not in part, the 2036 notes then outstanding at a redemption price equal to 100% of the principal amount of the notes to be redeemed, plus accrued and unpaid interest, if any, to, but excluding, the date of redemption.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after the Issue Date and prior to the maturity date, the Issuer may redeem in whole, but not in part, any series of notes then outstanding at a redemption price equal to 100% of the principal amount of such series of notes to be redeemed, plus accrued and unpaid interest, if any, to, but excluding, the date of redemption if seventy-five (75) percent or more of the aggregate principal amount of such series of notes have been redeemed or purchased and cancelled at the time of such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The Issuer shall give notice to the Noteholders of any optional redemption in accordance with Condition 17 (</w:t>
            </w:r>
            <w:r>
              <w:rPr>
                <w:rFonts w:ascii="Times New Roman" w:hAnsi="Times New Roman"/>
                <w:i/>
                <w:sz w:val="20"/>
              </w:rPr>
              <w:t>Notices</w:t>
            </w:r>
            <w:r>
              <w:rPr>
                <w:rFonts w:ascii="Times New Roman" w:hAnsi="Times New Roman"/>
                <w:sz w:val="20"/>
              </w:rPr>
              <w:t xml:space="preserve">), at least 15, but not more than 45, days before the redemption date. The notice of redemption shall specify, among other items, the redemption price and the principal amount of the notes held by such holder to be redeemed.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(d)</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[Reserved]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(e)</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Principal Paying Agent holds funds sufficient to pay the redemption price of the notes on the redemption date, then on and after such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notes will cease to be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on such notes will cease to accrue;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rights of holders of such notes will terminate except the right to receive the redemption price.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Such will be the case whether or not book-entry transfer of the notes in book-entry form is made and whether or not the notes are in certificated form, together with the necessary endorsements, are delivered to the Principal Paying Agent. </w:t>
      </w:r>
    </w:p>
    <w:p>
      <w:pPr>
        <w:pStyle w:val="TextBody"/>
        <w:bidi w:val="0"/>
        <w:spacing w:before="120" w:after="0"/>
        <w:jc w:val="left"/>
        <w:rPr>
          <w:rFonts w:ascii="Times New Roman" w:hAnsi="Times New Roman"/>
          <w:sz w:val="20"/>
        </w:rPr>
      </w:pPr>
      <w:r>
        <w:rPr>
          <w:rFonts w:ascii="Times New Roman" w:hAnsi="Times New Roman"/>
          <w:sz w:val="20"/>
        </w:rPr>
        <w:t xml:space="preserve">The Issuer shall not redeem any series of notes on any date if the principal amount of such series of notes has been accelerated, and such an acceleration has not been rescinded or cured on or prior to such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7.</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Redemption Upon Changes in Withholding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If (i) as a result of any change in, or amendment to, the laws (or any regulations or rulings promulgated thereunder) or treaties of the United States or the Netherlands (or, in each case, any political subdivision or taxing authority thereof or therein having power to tax) (a “</w:t>
            </w:r>
            <w:r>
              <w:rPr>
                <w:rFonts w:ascii="Times New Roman" w:hAnsi="Times New Roman"/>
                <w:i/>
                <w:sz w:val="20"/>
              </w:rPr>
              <w:t>Relevant Taxing Jurisdiction</w:t>
            </w:r>
            <w:r>
              <w:rPr>
                <w:rFonts w:ascii="Times New Roman" w:hAnsi="Times New Roman"/>
                <w:sz w:val="20"/>
              </w:rPr>
              <w:t>”), or any change in, or amendment to, any official position regarding the application, administration or interpretation of such laws, treaties, regulations or rulings (including by virtue of a holding, judgment or order by a court of competent jurisdiction or a change in published administrative practice), which change or amendment is announced as formally proposed on or after the date of this prospectus, the Issuer or any Guarantor becomes or will become obligated to pay additional amounts as described herein under Condition 9 (</w:t>
            </w:r>
            <w:r>
              <w:rPr>
                <w:rFonts w:ascii="Times New Roman" w:hAnsi="Times New Roman"/>
                <w:i/>
                <w:sz w:val="20"/>
              </w:rPr>
              <w:t>Payment of Additional Amounts</w:t>
            </w:r>
            <w:r>
              <w:rPr>
                <w:rFonts w:ascii="Times New Roman" w:hAnsi="Times New Roman"/>
                <w:sz w:val="20"/>
              </w:rPr>
              <w:t>) or (ii) any act is taken by a Relevant Taxing Jurisdiction on or after the date of this prospectus, whether or not such act is taken with respect to the Issuer or any affiliate, that results in a substantial probability that the Issuer or any Guarantor will, or may, be required to pay such additional amounts, then the Issuer may, at its option, redeem the applicable series of notes, as a whole but not in part, upon not less than 15 days’ nor more than 45 days’ published notice in accordance with Condition 17 (</w:t>
            </w:r>
            <w:r>
              <w:rPr>
                <w:rFonts w:ascii="Times New Roman" w:hAnsi="Times New Roman"/>
                <w:i/>
                <w:sz w:val="20"/>
              </w:rPr>
              <w:t>Notices</w:t>
            </w:r>
            <w:r>
              <w:rPr>
                <w:rFonts w:ascii="Times New Roman" w:hAnsi="Times New Roman"/>
                <w:sz w:val="20"/>
              </w:rPr>
              <w:t xml:space="preserve">) below, at 100% of their principal amount, together with interest accrued thereon to the date fixed for redemption, if any; provided that the Issuer determines, in its business judgment, that the obligation to pay such additional amounts cannot be avoided by the use of reasonable measures available to the Issuer (which does not include substitution of the obligor or any Guarantor under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For the purpose of the preceding clause, (A) changes or amendments announced as formally proposed on or after the date of this prospectus shall be considered to include any changes of, or amendments to, the Withholding Tax Act 2021 (</w:t>
            </w:r>
            <w:r>
              <w:rPr>
                <w:rFonts w:ascii="Times New Roman" w:hAnsi="Times New Roman"/>
                <w:i/>
                <w:sz w:val="20"/>
              </w:rPr>
              <w:t>Wet bronbelasting 2021</w:t>
            </w:r>
            <w:r>
              <w:rPr>
                <w:rFonts w:ascii="Times New Roman" w:hAnsi="Times New Roman"/>
                <w:sz w:val="20"/>
              </w:rPr>
              <w:t>) in the form adopted by the Upper House of the Dutch Parliament on 17 December 2019 and any official interpretations, including any judgments or orders by a court of competent jurisdiction or published administrative practice or policy, deviating from, or putting administrative obligations on the Issuer that exceed, what follows from the literal interpretation of this act, in each case if such change, amendment or interpretation is announced as formally proposed on or after the date of this prospectus and (B) any taxes levied from or assessed on the Issuer, or that the Issuer is required to pay by the Relevant Taxing Jurisdiction, under the Withholding Tax Act 2021 (</w:t>
            </w:r>
            <w:r>
              <w:rPr>
                <w:rFonts w:ascii="Times New Roman" w:hAnsi="Times New Roman"/>
                <w:i/>
                <w:sz w:val="20"/>
              </w:rPr>
              <w:t>Wet bronbelasting 2021</w:t>
            </w:r>
            <w:r>
              <w:rPr>
                <w:rFonts w:ascii="Times New Roman" w:hAnsi="Times New Roman"/>
                <w:sz w:val="20"/>
              </w:rPr>
              <w:t>) shall be considered as additional amounts except if and to the extent such tax is levied in respect of payments on notes held by a holder or beneficiary (</w:t>
            </w:r>
            <w:r>
              <w:rPr>
                <w:rFonts w:ascii="Times New Roman" w:hAnsi="Times New Roman"/>
                <w:i/>
                <w:sz w:val="20"/>
              </w:rPr>
              <w:t>voordeelsgerechtigde</w:t>
            </w:r>
            <w:r>
              <w:rPr>
                <w:rFonts w:ascii="Times New Roman" w:hAnsi="Times New Roman"/>
                <w:sz w:val="20"/>
              </w:rPr>
              <w:t>) after the Issuer having become aware that such holder or beneficiary is related (</w:t>
            </w:r>
            <w:r>
              <w:rPr>
                <w:rFonts w:ascii="Times New Roman" w:hAnsi="Times New Roman"/>
                <w:i/>
                <w:sz w:val="20"/>
              </w:rPr>
              <w:t>gelieerd</w:t>
            </w:r>
            <w:r>
              <w:rPr>
                <w:rFonts w:ascii="Times New Roman" w:hAnsi="Times New Roman"/>
                <w:sz w:val="20"/>
              </w:rPr>
              <w:t>) to the Issuer for purposes of the Withholding Tax Act 2021 (</w:t>
            </w:r>
            <w:r>
              <w:rPr>
                <w:rFonts w:ascii="Times New Roman" w:hAnsi="Times New Roman"/>
                <w:i/>
                <w:sz w:val="20"/>
              </w:rPr>
              <w:t>Wet bronbelasting 2021</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No redemption pursuant to (i) or (ii) of Condition 7(a) above may be made unless the Issuer has received an opinion of independent counsel to the effect that as a result of such change or amendment the Issuer will, or that an act taken by a Relevant Taxing Jurisdiction has resulted in a substantial probability that the Issuer or any Guarantor will, or may, be required to pay the additional amounts described herein under Condition 9 (</w:t>
            </w:r>
            <w:r>
              <w:rPr>
                <w:rFonts w:ascii="Times New Roman" w:hAnsi="Times New Roman"/>
                <w:i/>
                <w:sz w:val="20"/>
              </w:rPr>
              <w:t>Payment of Additional Amounts</w:t>
            </w:r>
            <w:r>
              <w:rPr>
                <w:rFonts w:ascii="Times New Roman" w:hAnsi="Times New Roman"/>
                <w:sz w:val="20"/>
              </w:rPr>
              <w:t xml:space="preserve">), or the taxes referred to in the preceding sentence, and the Issuer shall have delivered to the Noteholders an officers’ certificate, stating that based on such opinion the Issuer is entitled to redeem the applicable series of notes pursuant to their terms. Any such officers’ certificate and opinion of counsel described in the preceding sentence shall be accepted by the Noteholders as sufficient evidence of the existence and satisfaction of the conditions precedent as described above, in which event it will be conclusive and binding on the Noteholders.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8.</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Notice of Redemption </w:t>
            </w:r>
          </w:p>
        </w:tc>
      </w:tr>
    </w:tbl>
    <w:p>
      <w:pPr>
        <w:pStyle w:val="TextBody"/>
        <w:bidi w:val="0"/>
        <w:spacing w:before="120" w:after="0"/>
        <w:jc w:val="left"/>
        <w:rPr>
          <w:rFonts w:ascii="Times New Roman" w:hAnsi="Times New Roman"/>
          <w:sz w:val="20"/>
        </w:rPr>
      </w:pPr>
      <w:r>
        <w:rPr>
          <w:rFonts w:ascii="Times New Roman" w:hAnsi="Times New Roman"/>
          <w:sz w:val="20"/>
        </w:rPr>
        <w:t>The Issuer shall publish a notice of any redemption of the applicable series of notes described above in accordance with Condition 17 (</w:t>
      </w:r>
      <w:r>
        <w:rPr>
          <w:rFonts w:ascii="Times New Roman" w:hAnsi="Times New Roman"/>
          <w:i/>
          <w:sz w:val="20"/>
        </w:rPr>
        <w:t>Notices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9.</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Payment of Additional Amounts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All payments of principal and interest on the notes will be made free and clear of and without withholding or deduction for or on account of any present or future tax, assessment or other governmental charge (collectively, “</w:t>
            </w:r>
            <w:r>
              <w:rPr>
                <w:rFonts w:ascii="Times New Roman" w:hAnsi="Times New Roman"/>
                <w:i/>
                <w:sz w:val="20"/>
              </w:rPr>
              <w:t>Taxes</w:t>
            </w:r>
            <w:r>
              <w:rPr>
                <w:rFonts w:ascii="Times New Roman" w:hAnsi="Times New Roman"/>
                <w:sz w:val="20"/>
              </w:rPr>
              <w:t xml:space="preserve">”) imposed by any Relevant Taxing Jurisdiction, unless the withholding of such Taxes is required by law or the official interpretation or administration thereof. The Issuer will, subject to the exceptions and limitations set forth below, pay such additional amounts as are necessary in order that the net payment of the principal of and interest on the notes to a holder who is not a United States person for U.S. federal income tax purposes, after deduction for any present or future Taxes of any Relevant Taxing Jurisdiction, imposed by withholding with respect to the payment, will not be less than the amount such holder would have received if such Taxes had not been withheld or deducted; provided, however, that the foregoing obligation to pay additional amounts shall not apply: </w:t>
            </w:r>
          </w:p>
        </w:tc>
      </w:tr>
    </w:tbl>
    <w:p>
      <w:pPr>
        <w:pStyle w:val="TextBody"/>
        <w:bidi w:val="0"/>
        <w:spacing w:before="120" w:after="0"/>
        <w:jc w:val="left"/>
        <w:rPr>
          <w:rFonts w:ascii="Times New Roman" w:hAnsi="Times New Roman"/>
          <w:sz w:val="20"/>
        </w:rPr>
      </w:pPr>
      <w:r>
        <w:rPr>
          <w:rFonts w:ascii="Times New Roman" w:hAnsi="Times New Roman"/>
          <w:sz w:val="20"/>
        </w:rPr>
        <w:t xml:space="preserve">(1) to any Taxes imposed by the United States (or any political subdivision or taxing authority thereof or therein having power to tax); </w:t>
      </w:r>
    </w:p>
    <w:p>
      <w:pPr>
        <w:pStyle w:val="TextBody"/>
        <w:bidi w:val="0"/>
        <w:spacing w:before="120" w:after="0"/>
        <w:jc w:val="left"/>
        <w:rPr>
          <w:rFonts w:ascii="Times New Roman" w:hAnsi="Times New Roman"/>
          <w:sz w:val="20"/>
        </w:rPr>
      </w:pPr>
      <w:r>
        <w:rPr>
          <w:rFonts w:ascii="Times New Roman" w:hAnsi="Times New Roman"/>
          <w:sz w:val="20"/>
        </w:rPr>
        <w:t xml:space="preserve">(2) to any Taxes that are imposed or withheld by reason of the existence of any present or former connection between the holder or beneficial owner of such note (or a fiduciary, settlor, beneficiary, member or shareholder of the holder if the holder is an estate, trust, partnership or corporation, or a person holding a power over an estate or trust administered by a fiduciary holder) and the Relevant Taxing Jurisdiction (other than merely holding or being a beneficial owner of such note or the receipt or enforcement of payments or deliveries thereunder), including such holder or beneficial owner being or having been organized or incorporated in, a national, domiciliary or resident, or treated as a resident, of, or being or having been physically present or engaged in a trade or business, or having had a permanent establishment, in, such Relevant Taxing Jurisdiction; </w:t>
      </w:r>
    </w:p>
    <w:p>
      <w:pPr>
        <w:pStyle w:val="TextBody"/>
        <w:bidi w:val="0"/>
        <w:spacing w:before="120" w:after="0"/>
        <w:jc w:val="left"/>
        <w:rPr>
          <w:rFonts w:ascii="Times New Roman" w:hAnsi="Times New Roman"/>
          <w:sz w:val="20"/>
        </w:rPr>
      </w:pPr>
      <w:r>
        <w:rPr>
          <w:rFonts w:ascii="Times New Roman" w:hAnsi="Times New Roman"/>
          <w:sz w:val="20"/>
        </w:rPr>
        <w:t xml:space="preserve">(3) to any holder that is not the sole beneficial owner of the note, or a portion thereof, or that is a fiduciary or partnership, but only to the extent that a beneficiary or settlor with respect to the fiduciary, a beneficial owner or member of the partnership would not have been entitled to the payment of an additional amount had the beneficiary, settlor, beneficial owner or member received directly its beneficial or distributive share of the payment; </w:t>
      </w:r>
    </w:p>
    <w:p>
      <w:pPr>
        <w:pStyle w:val="TextBody"/>
        <w:bidi w:val="0"/>
        <w:spacing w:before="120" w:after="0"/>
        <w:jc w:val="left"/>
        <w:rPr>
          <w:rFonts w:ascii="Times New Roman" w:hAnsi="Times New Roman"/>
          <w:sz w:val="20"/>
        </w:rPr>
      </w:pPr>
      <w:r>
        <w:rPr>
          <w:rFonts w:ascii="Times New Roman" w:hAnsi="Times New Roman"/>
          <w:sz w:val="20"/>
        </w:rPr>
        <w:t>(4) to any Taxes that are imposed or withheld solely by reason of the failure to (a) comply with certification, identification or information reporting requirements concerning the nationality, residence, identity or connection with a Relevant Taxing Jurisdiction of, or other information relating to, the holder or beneficial owner of such note, if compliance is required by the Relevant Taxing Jurisdiction for not falling under the scope of such Taxes (including for purposes of the Withholding Tax Act 2021 (</w:t>
      </w:r>
      <w:r>
        <w:rPr>
          <w:rFonts w:ascii="Times New Roman" w:hAnsi="Times New Roman"/>
          <w:i/>
          <w:sz w:val="20"/>
        </w:rPr>
        <w:t>Wet Bronbelasting 2021</w:t>
      </w:r>
      <w:r>
        <w:rPr>
          <w:rFonts w:ascii="Times New Roman" w:hAnsi="Times New Roman"/>
          <w:sz w:val="20"/>
        </w:rPr>
        <w:t xml:space="preserve">)), or as a precondition to relief or exemption from such Taxes (including the submission of an applicable IRS Form W-8 (with any required attachments)) or (b) comply with any information gathering and reporting requirements or to take any similar action (including entering into any agreement with the IRS), in each case, that are required to obtain the maximum available exemption from withholding by a Relevant Taxing Jurisdiction that is available to payments received by or on behalf of the holder; </w:t>
      </w:r>
    </w:p>
    <w:p>
      <w:pPr>
        <w:pStyle w:val="TextBody"/>
        <w:bidi w:val="0"/>
        <w:spacing w:before="120" w:after="0"/>
        <w:jc w:val="left"/>
        <w:rPr>
          <w:rFonts w:ascii="Times New Roman" w:hAnsi="Times New Roman"/>
          <w:sz w:val="20"/>
        </w:rPr>
      </w:pPr>
      <w:r>
        <w:rPr>
          <w:rFonts w:ascii="Times New Roman" w:hAnsi="Times New Roman"/>
          <w:sz w:val="20"/>
        </w:rPr>
        <w:t xml:space="preserve">(5) to any Taxes that are imposed otherwise than by withholding from the payment; </w:t>
      </w:r>
    </w:p>
    <w:p>
      <w:pPr>
        <w:pStyle w:val="TextBody"/>
        <w:bidi w:val="0"/>
        <w:spacing w:before="120" w:after="0"/>
        <w:jc w:val="left"/>
        <w:rPr>
          <w:rFonts w:ascii="Times New Roman" w:hAnsi="Times New Roman"/>
          <w:sz w:val="20"/>
        </w:rPr>
      </w:pPr>
      <w:r>
        <w:rPr>
          <w:rFonts w:ascii="Times New Roman" w:hAnsi="Times New Roman"/>
          <w:sz w:val="20"/>
        </w:rPr>
        <w:t xml:space="preserve">(6) to any Taxes that are imposed or withheld solely by reason of a change in law, regulation, or administrative or judicial interpretation that becomes effective more than 15 days after the payment becomes due or is duly provided for, whichever occurs later; </w:t>
      </w:r>
    </w:p>
    <w:p>
      <w:pPr>
        <w:pStyle w:val="TextBody"/>
        <w:bidi w:val="0"/>
        <w:spacing w:before="120" w:after="0"/>
        <w:jc w:val="left"/>
        <w:rPr>
          <w:rFonts w:ascii="Times New Roman" w:hAnsi="Times New Roman"/>
          <w:sz w:val="20"/>
        </w:rPr>
      </w:pPr>
      <w:r>
        <w:rPr>
          <w:rFonts w:ascii="Times New Roman" w:hAnsi="Times New Roman"/>
          <w:sz w:val="20"/>
        </w:rPr>
        <w:t xml:space="preserve">(7) to any estate, inheritance, gift, sales, excise, transfer, wealth or personal property tax or a similar tax, assessment or governmental charge;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to any Taxes required to be withheld by any paying agent from any payment of principal of or interest on any note, if such payment can be made without such withholding by any other paying agent; </w:t>
      </w:r>
    </w:p>
    <w:p>
      <w:pPr>
        <w:pStyle w:val="TextBody"/>
        <w:bidi w:val="0"/>
        <w:spacing w:before="120" w:after="0"/>
        <w:jc w:val="left"/>
        <w:rPr>
          <w:rFonts w:ascii="Times New Roman" w:hAnsi="Times New Roman"/>
          <w:sz w:val="20"/>
        </w:rPr>
      </w:pPr>
      <w:r>
        <w:rPr>
          <w:rFonts w:ascii="Times New Roman" w:hAnsi="Times New Roman"/>
          <w:sz w:val="20"/>
        </w:rPr>
        <w:t xml:space="preserve">(9) to any Taxes that are imposed or levied by reason of the presentation (where presentation is required in order to receive payment) of such notes for payment on a date more than 30 days after the date on which such payment became due and payable, except to the extent that the holder or beneficial owner thereof would have been entitled to additional amounts had the notes been presented for payment on any date during such 30 day period; </w:t>
      </w:r>
    </w:p>
    <w:p>
      <w:pPr>
        <w:pStyle w:val="TextBody"/>
        <w:bidi w:val="0"/>
        <w:spacing w:before="120" w:after="0"/>
        <w:jc w:val="left"/>
        <w:rPr>
          <w:rFonts w:ascii="Times New Roman" w:hAnsi="Times New Roman"/>
          <w:sz w:val="20"/>
        </w:rPr>
      </w:pPr>
      <w:r>
        <w:rPr>
          <w:rFonts w:ascii="Times New Roman" w:hAnsi="Times New Roman"/>
          <w:sz w:val="20"/>
        </w:rPr>
        <w:t xml:space="preserve">(10) to any backup withholding or any Taxes imposed under Sections 1471 through 1474 of the Code, any current or future regulations or official interpretations thereof, any agreements entered into pursuant to Section 1471(b)(1) of the Code, or any fiscal or regulatory legislation, rules or practices adopted pursuant to any intergovernmental agreement entered into in connection with the implementation of such sections of the Code; or </w:t>
      </w:r>
    </w:p>
    <w:p>
      <w:pPr>
        <w:pStyle w:val="TextBody"/>
        <w:bidi w:val="0"/>
        <w:spacing w:before="120" w:after="0"/>
        <w:jc w:val="left"/>
        <w:rPr>
          <w:rFonts w:ascii="Times New Roman" w:hAnsi="Times New Roman"/>
          <w:sz w:val="20"/>
        </w:rPr>
      </w:pPr>
      <w:r>
        <w:rPr>
          <w:rFonts w:ascii="Times New Roman" w:hAnsi="Times New Roman"/>
          <w:sz w:val="20"/>
        </w:rPr>
        <w:t>(11) to any Dutch withholding tax under the Withholding Tax Act 2021 (</w:t>
      </w:r>
      <w:r>
        <w:rPr>
          <w:rFonts w:ascii="Times New Roman" w:hAnsi="Times New Roman"/>
          <w:i/>
          <w:sz w:val="20"/>
        </w:rPr>
        <w:t>Wet bronbelasting 2021</w:t>
      </w:r>
      <w:r>
        <w:rPr>
          <w:rFonts w:ascii="Times New Roman" w:hAnsi="Times New Roman"/>
          <w:sz w:val="20"/>
        </w:rPr>
        <w:t>) imposed on a holder or, where applicable, a beneficiary (</w:t>
      </w:r>
      <w:r>
        <w:rPr>
          <w:rFonts w:ascii="Times New Roman" w:hAnsi="Times New Roman"/>
          <w:i/>
          <w:sz w:val="20"/>
        </w:rPr>
        <w:t>voordeelsgerechtigde</w:t>
      </w:r>
      <w:r>
        <w:rPr>
          <w:rFonts w:ascii="Times New Roman" w:hAnsi="Times New Roman"/>
          <w:sz w:val="20"/>
        </w:rPr>
        <w:t>) of the notes for purposes of the Withholding Tax Act 2021 (</w:t>
      </w:r>
      <w:r>
        <w:rPr>
          <w:rFonts w:ascii="Times New Roman" w:hAnsi="Times New Roman"/>
          <w:i/>
          <w:sz w:val="20"/>
        </w:rPr>
        <w:t>Wet bronbelasting 2021</w:t>
      </w:r>
      <w:r>
        <w:rPr>
          <w:rFonts w:ascii="Times New Roman" w:hAnsi="Times New Roman"/>
          <w:sz w:val="20"/>
        </w:rPr>
        <w:t>) that is an entity that is related (gelieerd) to the Issuer within the meaning of the Withholding Tax Act 2021 (</w:t>
      </w:r>
      <w:r>
        <w:rPr>
          <w:rFonts w:ascii="Times New Roman" w:hAnsi="Times New Roman"/>
          <w:i/>
          <w:sz w:val="20"/>
        </w:rPr>
        <w:t>Wet Bronbelasting 2021</w:t>
      </w:r>
      <w:r>
        <w:rPr>
          <w:rFonts w:ascii="Times New Roman" w:hAnsi="Times New Roman"/>
          <w:sz w:val="20"/>
        </w:rPr>
        <w:t>). An entity is considered related to the Issuer if (i) it directly or indirectly holds a Qualifying Interest (as defined below) in the Issuer, (ii) the Issuer directly or indirectly holds a Qualifying Interest in the entity, or (iii) a third party or a Qualifying Unity directly or indirectly holds a Qualifying Interest in both the Issuer and the entity. The term “</w:t>
      </w:r>
      <w:r>
        <w:rPr>
          <w:rFonts w:ascii="Times New Roman" w:hAnsi="Times New Roman"/>
          <w:i/>
          <w:sz w:val="20"/>
        </w:rPr>
        <w:t>Qualifying Interest</w:t>
      </w:r>
      <w:r>
        <w:rPr>
          <w:rFonts w:ascii="Times New Roman" w:hAnsi="Times New Roman"/>
          <w:sz w:val="20"/>
        </w:rPr>
        <w:t>” means an interest that allows the holder of the interest to individually – or jointly in the case of a Qualifying Unity – exert such a decisive influence on the Issuer’s decisions that such holder or such Qualifying Unity can determine the Issuer’s activities (</w:t>
      </w:r>
      <w:r>
        <w:rPr>
          <w:rFonts w:ascii="Times New Roman" w:hAnsi="Times New Roman"/>
          <w:i/>
          <w:sz w:val="20"/>
        </w:rPr>
        <w:t>kwalificerend belang</w:t>
      </w:r>
      <w:r>
        <w:rPr>
          <w:rFonts w:ascii="Times New Roman" w:hAnsi="Times New Roman"/>
          <w:sz w:val="20"/>
        </w:rPr>
        <w:t xml:space="preserve">). The term “Qualifying Unity” means a cooperation between entities that has as the main purpose or one of the main purposes the avoidance of Dutch withholding tax levied pursuant to the Withholding Tax Act 2021; or </w:t>
      </w:r>
    </w:p>
    <w:p>
      <w:pPr>
        <w:pStyle w:val="TextBody"/>
        <w:bidi w:val="0"/>
        <w:spacing w:before="120" w:after="0"/>
        <w:jc w:val="left"/>
        <w:rPr>
          <w:rFonts w:ascii="Times New Roman" w:hAnsi="Times New Roman"/>
          <w:sz w:val="20"/>
        </w:rPr>
      </w:pPr>
      <w:r>
        <w:rPr>
          <w:rFonts w:ascii="Times New Roman" w:hAnsi="Times New Roman"/>
          <w:sz w:val="20"/>
        </w:rPr>
        <w:t xml:space="preserve">(12) in the case of any combination of any items (1) through (11).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notes are subject in all cases to any tax, fiscal or other law or regulation or administrative or judicial interpretation applicable thereto. Except as specifically provided under this Condition 9 (</w:t>
            </w:r>
            <w:r>
              <w:rPr>
                <w:rFonts w:ascii="Times New Roman" w:hAnsi="Times New Roman"/>
                <w:i/>
                <w:sz w:val="20"/>
              </w:rPr>
              <w:t>Payment of Additional Amounts</w:t>
            </w:r>
            <w:r>
              <w:rPr>
                <w:rFonts w:ascii="Times New Roman" w:hAnsi="Times New Roman"/>
                <w:sz w:val="20"/>
              </w:rPr>
              <w:t xml:space="preserve">), the Issuer shall not be required to make any payment with respect to any tax, assessment or governmental charge imposed by any government or a political subdivision or taxing authority thereof or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Issuer or any Guarantor, as the case may be, becomes aware that the Issuer or it, as applicable, will be obligated to pay additional amounts with respect to any payment under or with respect to the notes or the Guarantees, the Issuer or the relevant Guarantor, as the case may be, will deliver to the Principal Paying Agent on a date that is at least 30 days prior to the date of that payment (unless the obligation to pay additional amounts arises less than 45 days prior to that payment date, in which case the Issuer or the Guarantor shall notify the Noteholders promptly thereafter) an officers’ certificate stating the fact that additional amounts will be payable and the amount estimated to be so payable. The officers’ certificate must also set forth any other information reasonably requested by the Principal Paying Agent to enable the Principal Paying Agent to pay such additional amounts to holders on the relevant 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Certain Covenants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Limitation on Total Outstanding Debt</w:t>
            </w:r>
            <w:r>
              <w:rPr>
                <w:rFonts w:ascii="Times New Roman" w:hAnsi="Times New Roman"/>
                <w:sz w:val="20"/>
              </w:rPr>
              <w:t xml:space="preserve">. Digital Realty Trust, L.P. will not, and will not permit any of its Subsidiaries to, Incur any Indebtedness, other than Intercompany Indebtedness and guarantees of Indebtedness Incurred by Digital Realty Trust, L.P. or any of its Subsidiaries in compliance with these Terms and Conditions, if, immediately after giving effect to the Incurrence of such Indebtedness and the application of the proceeds thereof, Total Outstanding Debt would be greater than 60% of Total Assets as of the end of the fiscal quarter covered in Digital Realty Trust, L.P.’s annual or quarterly report most recently furnished to Noteholders or filed with the SEC, as the case may be.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Secured Debt</w:t>
            </w:r>
            <w:r>
              <w:rPr>
                <w:rFonts w:ascii="Times New Roman" w:hAnsi="Times New Roman"/>
                <w:sz w:val="20"/>
              </w:rPr>
              <w:t xml:space="preserve">. In addition to the preceding limitation on the Incurrence of Indebtedness, Digital Realty Trust, L.P. will not, and will not permit any of its Subsidiaries to, Incur any Secured Debt, other than guarantees of Secured Debt Incurred by Digital Realty Trust, L.P. or any of its Subsidiaries in compliance with these Terms and Conditions, if, immediately after giving effect to the Incurrence of such Secured Debt and the application of the proceeds thereof, the aggregate principal amount of Secured Debt would be greater than 40% of Total Assets as of the end of the fiscal quarter covered in Digital Realty Trust, L.P.’s annual or quarterly report most recently furnished to Noteholders or filed with the SEC, as the case may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(c)</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i/>
                <w:sz w:val="20"/>
              </w:rPr>
              <w:t>Unencumbered Assets</w:t>
            </w:r>
            <w:r>
              <w:rPr>
                <w:rFonts w:ascii="Times New Roman" w:hAnsi="Times New Roman"/>
                <w:sz w:val="20"/>
              </w:rPr>
              <w:t xml:space="preserve">. Digital Realty Trust, L.P. and its Subsidiaries will at all times maintain Total Unencumbered Assets of not less than 150% of the aggregate outstanding principal amount of Unsecured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Ratio of Consolidated EBITDA to Interest Expense</w:t>
            </w:r>
            <w:r>
              <w:rPr>
                <w:rFonts w:ascii="Times New Roman" w:hAnsi="Times New Roman"/>
                <w:sz w:val="20"/>
              </w:rPr>
              <w:t>. In addition to the preceding limitations on the Incurrence of Indebtedness, Digital Realty Trust, L.P. will not, and will not permit any of its Subsidiaries to, Incur any Indebtedness other than Intercompany Indebtedness and guarantees of Indebtedness Incurred by Digital Realty Trust, L.P. or any of its Subsidiaries in compliance with these Terms and Conditions, if the ratio of Consolidated EBITDA to Interest Expense for the most recent quarterly period covered in Digital Realty Trust, L.P.’s annual or quarterly report most recently furnished to Noteholders or filed with the SEC, as the case may be, in the manner described under Condition 10(e) (</w:t>
            </w:r>
            <w:r>
              <w:rPr>
                <w:rFonts w:ascii="Times New Roman" w:hAnsi="Times New Roman"/>
                <w:i/>
                <w:sz w:val="20"/>
              </w:rPr>
              <w:t>Reports</w:t>
            </w:r>
            <w:r>
              <w:rPr>
                <w:rFonts w:ascii="Times New Roman" w:hAnsi="Times New Roman"/>
                <w:sz w:val="20"/>
              </w:rPr>
              <w:t xml:space="preserve">), prior to such time, annualized (i.e., multiplied by four (4)) prior to the date on which such additional Indebtedness is to be Incurred shall have been less than 1.50:1.00 on a pro forma basis after giving effect thereto and to the application of the proceeds therefrom, and calculated on the assumption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Indebtedness and any other Indebtedness Incurred by Digital Realty Trust, L.P. and its Subsidiaries since the first day of such quarterly period and the application of the proceeds therefrom, including to refinance other Indebtedness, had occurred at the beginning of such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repayment or retirement of any Indebtedness (other than Indebtedness repaid or retired with the proceeds of any other Indebtedness, which repayment or retirement shall be calculated pursuant to the preceding bullet and not this bullet) by Digital Realty Trust, L.P. and its Subsidiaries since the first day of such quarterly period had been repaid or retired at the beginning of such period (except that, in making such computation, the amount of Indebtedness under any revolving credit facility shall be computed based upon the average daily balance of such Indebtedness during such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Acquired Indebtedness or Indebtedness Incurred in connection with any acquisition since the first day of such quarterly period, the related acquisition had occurred as of the first day of such period with the appropriate adjustments with respect to such acquisition being included in such pro forma calculation;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any acquisition or disposition of any asset or group of assets or the placement of any assets in service or removal of any assets from service by Digital Realty Trust, L.P. or any of its Subsidiaries from the first day of such quarterly period to the date of determination, including, without limitation, by merger, or stock or asset purchase or sale, the acquisition, disposition, placement in service or removal from service had occurred as of the first day of such period with appropriate adjustments to Interest Expense with respect to the acquisition, disposition, placement in service or removal from service being included in that pro forma calculation.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(e)</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Reports</w:t>
            </w:r>
            <w:r>
              <w:rPr>
                <w:rFonts w:ascii="Times New Roman" w:hAnsi="Times New Roman"/>
                <w:sz w:val="20"/>
              </w:rPr>
              <w:t xml:space="preserve">. Whether or not required by the rules and regulations of the SEC, so long as any notes are outstanding, Digital Realty Trust, Inc. and Digital Realty Trust, L.P. will furnish to the Noteholders, within the time periods specified in the SEC’s rules and regulations: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(1) all quarterly and annual reports of Digital Realty Trust, Inc. and Digital Realty Trust, L.P. that would be required to be filed with the SEC on Forms 10-Q and 10-K if Digital Realty Trust, Inc. and Digital Realty Trust, L.P. were required to file such reports; and </w:t>
      </w:r>
    </w:p>
    <w:p>
      <w:pPr>
        <w:pStyle w:val="TextBody"/>
        <w:bidi w:val="0"/>
        <w:spacing w:before="120" w:after="0"/>
        <w:jc w:val="left"/>
        <w:rPr>
          <w:rFonts w:ascii="Times New Roman" w:hAnsi="Times New Roman"/>
          <w:sz w:val="20"/>
        </w:rPr>
      </w:pPr>
      <w:r>
        <w:rPr>
          <w:rFonts w:ascii="Times New Roman" w:hAnsi="Times New Roman"/>
          <w:sz w:val="20"/>
        </w:rPr>
        <w:t xml:space="preserve">(2) all current reports of Digital Realty Trust, Inc. and Digital Realty Trust, L.P. that would be required to be filed with the SEC on Form 8-K if Digital Realty Trust, Inc. and Digital Realty Trust, L.P. were required to file such reports.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such reports will be prepared in all material respects in accordance with all of the rules and regulations applicable to such reports. Each annual report on Form 10-K will include a report on Digital Realty Trust, Inc.’s and Digital Realty Trust, L.P.’s consolidated financial statements by Digital Realty Trust, Inc.’s and Digital Realty Trust, L.P.’s independent registered public accounting firm. In addition, Digital Realty Trust, Inc. and Digital Realty Trust, L.P. will file a copy of each of the reports referred to in clauses (1) and (2) above with the SEC for public availability within the time periods specified in the rules and regulations applicable to such reports (unless the SEC will not accept such a filing) and will make the reports available on Digital Realty Trust, Inc.’s website within those time periods. Notwithstanding the foregoing, Digital Realty Trust, Inc. and Digital Realty Trust, L.P. may satisfy their obligation to furnish the reports described above by furnishing, or filing with the SEC for public availability, reports of Digital Realty Trust, Inc. and Digital Realty Trust, L.P. within the time periods specified in the SEC’s rules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at any time Digital Realty Trust, Inc. and Digital Realty Trust, L.P. are not subject to the periodic reporting requirements of the Exchange Act for any reason, Digital Realty Trust, Inc. and Digital Realty Trust, L.P. will nevertheless continue filing the reports specified in the preceding paragraphs of this covenant with the SEC within the time periods specified above unless the SEC will not accept such a filing. None of Digital Constellation B.V., Digital Realty Trust, Inc., Digital Realty Trust, L.P. or Digital Intrepid Holding B.V. will take any action for the purpose of causing the SEC not to accept any such filings. If, notwithstanding the foregoing, the SEC will not accept Digital Realty Trust, Inc.’s or Digital Realty Trust, L.P.’s filings for any reason, Digital Realty Trust, Inc. and Digital Realty Trust, L.P. will post the reports referred to in the preceding paragraphs on Digital Realty Trust, Inc.’s website within the time periods that would apply if Digital Realty Trust, Inc. and Digital Realty Trust, L.P. were required to file those reports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Certain Definitions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 forth below are certain defined terms used in this prospectus and these Terms and Conditions. </w:t>
            </w:r>
          </w:p>
        </w:tc>
      </w:tr>
    </w:tbl>
    <w:p>
      <w:pPr>
        <w:pStyle w:val="TextBody"/>
        <w:bidi w:val="0"/>
        <w:spacing w:before="240" w:after="0"/>
        <w:jc w:val="left"/>
        <w:rPr/>
      </w:pPr>
      <w:r>
        <w:rPr/>
        <w:t>“</w:t>
      </w:r>
      <w:r>
        <w:rPr>
          <w:rFonts w:ascii="Times New Roman" w:hAnsi="Times New Roman"/>
          <w:i/>
          <w:sz w:val="20"/>
        </w:rPr>
        <w:t>Acquired Indebtedness</w:t>
      </w:r>
      <w:r>
        <w:rPr>
          <w:rFonts w:ascii="Times New Roman" w:hAnsi="Times New Roman"/>
          <w:sz w:val="20"/>
        </w:rPr>
        <w:t xml:space="preserve">” means Indebtedness of a Person (1) existing at the time such Person becomes a Subsidiary or (2) assumed in connection with the acquisition of assets from such Person, in each case, other than Indebtedness Incurred in connection with, or in contemplation of, such Person becoming a Subsidiary or such acquisition. Acquired Indebtedness shall be deemed to be Incurred on the date of the related acquisition of assets from any Person or the date the acquired Person becomes a Subsidiary. </w:t>
      </w:r>
    </w:p>
    <w:p>
      <w:pPr>
        <w:pStyle w:val="TextBody"/>
        <w:bidi w:val="0"/>
        <w:spacing w:before="240" w:after="0"/>
        <w:jc w:val="left"/>
        <w:rPr/>
      </w:pPr>
      <w:r>
        <w:rPr/>
        <w:t>“</w:t>
      </w:r>
      <w:r>
        <w:rPr>
          <w:rFonts w:ascii="Times New Roman" w:hAnsi="Times New Roman"/>
          <w:i/>
          <w:sz w:val="20"/>
        </w:rPr>
        <w:t>Bankruptcy Law</w:t>
      </w:r>
      <w:r>
        <w:rPr>
          <w:rFonts w:ascii="Times New Roman" w:hAnsi="Times New Roman"/>
          <w:sz w:val="20"/>
        </w:rPr>
        <w:t xml:space="preserve">” means Title 11, U.S. Code or any similar federal, state or foreign law for the relief of debtors. </w:t>
      </w:r>
    </w:p>
    <w:p>
      <w:pPr>
        <w:pStyle w:val="TextBody"/>
        <w:bidi w:val="0"/>
        <w:spacing w:before="240" w:after="0"/>
        <w:jc w:val="left"/>
        <w:rPr/>
      </w:pPr>
      <w:r>
        <w:rPr/>
        <w:t>“</w:t>
      </w:r>
      <w:r>
        <w:rPr>
          <w:rFonts w:ascii="Times New Roman" w:hAnsi="Times New Roman"/>
          <w:i/>
          <w:sz w:val="20"/>
        </w:rPr>
        <w:t>Business Day</w:t>
      </w:r>
      <w:r>
        <w:rPr>
          <w:rFonts w:ascii="Times New Roman" w:hAnsi="Times New Roman"/>
          <w:sz w:val="20"/>
        </w:rPr>
        <w:t xml:space="preserve">” means any day other than Saturday or Sunday on which commercial banks and foreign exchange markets are open for business in New York, London and Zurich. </w:t>
      </w:r>
    </w:p>
    <w:p>
      <w:pPr>
        <w:pStyle w:val="TextBody"/>
        <w:bidi w:val="0"/>
        <w:spacing w:before="240" w:after="0"/>
        <w:jc w:val="left"/>
        <w:rPr/>
      </w:pPr>
      <w:r>
        <w:rPr/>
        <w:t>“</w:t>
      </w:r>
      <w:r>
        <w:rPr>
          <w:rFonts w:ascii="Times New Roman" w:hAnsi="Times New Roman"/>
          <w:i/>
          <w:sz w:val="20"/>
        </w:rPr>
        <w:t xml:space="preserve">Capitalization </w:t>
      </w:r>
      <w:r>
        <w:rPr>
          <w:rFonts w:ascii="Times New Roman" w:hAnsi="Times New Roman"/>
          <w:sz w:val="20"/>
        </w:rPr>
        <w:t xml:space="preserve">Rate” means 7.25%. </w:t>
      </w:r>
    </w:p>
    <w:p>
      <w:pPr>
        <w:pStyle w:val="TextBody"/>
        <w:bidi w:val="0"/>
        <w:spacing w:before="240" w:after="0"/>
        <w:jc w:val="left"/>
        <w:rPr/>
      </w:pPr>
      <w:r>
        <w:rPr/>
        <w:t>“</w:t>
      </w:r>
      <w:r>
        <w:rPr>
          <w:rFonts w:ascii="Times New Roman" w:hAnsi="Times New Roman"/>
          <w:i/>
          <w:sz w:val="20"/>
        </w:rPr>
        <w:t>Consolidated EBITDA</w:t>
      </w:r>
      <w:r>
        <w:rPr>
          <w:rFonts w:ascii="Times New Roman" w:hAnsi="Times New Roman"/>
          <w:sz w:val="20"/>
        </w:rPr>
        <w:t xml:space="preserve">” means, for any period of time, without duplication, consolidated net income (loss) of Digital Realty Trust, L.P. and its Consolidated Subsidiaries plus amounts which have been deducted and minus amounts which have been added for, without duplication, (a) Interest Expense, (b) depreciation and amortization and other non-cash items deducted or added in arriving at net income (loss), (c) provision for taxes based on income or profits, (d) non-recurring or other unusual items, as determined by the Issuer in good faith (including, without limitation, all prepayment penalties and all costs or fees Incurred in connection with any equity financing, debt financing or amendment thereto, acquisition, disposition, recapitalization or similar transaction (regardless of whether such transaction is completed)), (e) extraordinary items, (f) noncontrolling interests, (g) the income, expense, gain or loss attributable to transactions involving derivative instruments that do not qualify for hedge accounting in accordance with GAAP, and (h) gains or losses on dispositions of depreciable real estate investments, property valuation losses and impairment charges;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no event will Consolidated EBITDA include (x) net income (loss) (whether pursuant to the equity method of accounting or otherwise) on account of any of Digital Realty Trust, L.P.’s or its Consolidated Subsidiaries’ unconsolidated subsidiaries and other partially owned entities or (y) net income (loss) generated from Digital Realty Trust, L.P.’s or its Consolidated Subsidiaries’ real property under construction or Redevelopment Properties;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all amounts for such period shall be reasonably determined by Digital Realty Trust, L.P. in accordance with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GAAP to the extent GAAP is applicable. Consolidated EBITDA will be adjusted, without duplication, to give pro forma effect: (i) in the case of any assets having been placed in service or removed from service from the beginning of the period to the date of determination, to include or exclude, as the case may be, any Consolidated EBITDA earned or eliminated as a result of the placement of the assets in service or removal of the assets from service as if the placement of the assets in service or removal of the assets from service occurred at the beginning of the period; and (ii) in the case of any acquisition or disposition of any asset or group of assets from the beginning of the period to the date of determination, including, without limitation, by merger, or stock or asset purchase or sale, to include or exclude, as the case may be, any Consolidated EBITDA earned or eliminated as a result of the acquisition or disposition of those assets as if the acquisition or disposition occurred at the beginning of the period. </w:t>
      </w:r>
    </w:p>
    <w:p>
      <w:pPr>
        <w:pStyle w:val="TextBody"/>
        <w:bidi w:val="0"/>
        <w:spacing w:before="240" w:after="0"/>
        <w:jc w:val="left"/>
        <w:rPr/>
      </w:pPr>
      <w:r>
        <w:rPr/>
        <w:t>“</w:t>
      </w:r>
      <w:r>
        <w:rPr>
          <w:rFonts w:ascii="Times New Roman" w:hAnsi="Times New Roman"/>
          <w:i/>
          <w:sz w:val="20"/>
        </w:rPr>
        <w:t>Consolidated Financial Statements</w:t>
      </w:r>
      <w:r>
        <w:rPr>
          <w:rFonts w:ascii="Times New Roman" w:hAnsi="Times New Roman"/>
          <w:sz w:val="20"/>
        </w:rPr>
        <w:t xml:space="preserve">” means, with respect to any Person, collectively, the consolidated financial statements and notes to those financial statements, of that Person and its Consolidated Subsidiaries prepared in accordance with GAAP. </w:t>
      </w:r>
    </w:p>
    <w:p>
      <w:pPr>
        <w:pStyle w:val="TextBody"/>
        <w:bidi w:val="0"/>
        <w:spacing w:before="240" w:after="0"/>
        <w:jc w:val="left"/>
        <w:rPr/>
      </w:pPr>
      <w:r>
        <w:rPr/>
        <w:t>“</w:t>
      </w:r>
      <w:r>
        <w:rPr>
          <w:rFonts w:ascii="Times New Roman" w:hAnsi="Times New Roman"/>
          <w:i/>
          <w:sz w:val="20"/>
        </w:rPr>
        <w:t>Consolidated Subsidiary</w:t>
      </w:r>
      <w:r>
        <w:rPr>
          <w:rFonts w:ascii="Times New Roman" w:hAnsi="Times New Roman"/>
          <w:sz w:val="20"/>
        </w:rPr>
        <w:t xml:space="preserve">” means each Subsidiary of Digital Realty Trust, L.P. that is consolidated in the Consolidated Financial Statements of Digital Realty Trust, L.P. </w:t>
      </w:r>
    </w:p>
    <w:p>
      <w:pPr>
        <w:pStyle w:val="TextBody"/>
        <w:bidi w:val="0"/>
        <w:spacing w:before="240" w:after="0"/>
        <w:jc w:val="left"/>
        <w:rPr/>
      </w:pPr>
      <w:r>
        <w:rPr/>
        <w:t>“</w:t>
      </w:r>
      <w:r>
        <w:rPr>
          <w:rFonts w:ascii="Times New Roman" w:hAnsi="Times New Roman"/>
          <w:i/>
          <w:sz w:val="20"/>
        </w:rPr>
        <w:t>GAAP</w:t>
      </w:r>
      <w:r>
        <w:rPr>
          <w:rFonts w:ascii="Times New Roman" w:hAnsi="Times New Roman"/>
          <w:sz w:val="20"/>
        </w:rPr>
        <w:t>” means generally accepted accounting principles in the United States of America as in effect from time to time; provided that if, as of a particular date as of which compliance with the covenants contained in these Terms and Conditions is being determined, there have been changes in accounting principles generally accepted in the United States of America from those that applied to Digital Realty Trust, L.P.’s consolidated financial statements included in its Annual Report on Form 10-K for the year ended December 31, 2019, Digital Realty Trust, L.P. may, in its sole discretion, determine compliance with the covenants contained in these Terms and Conditions using accounting principles generally accepted in the United States of America as in effect as of the end of any calendar quarter selected by Digital Realty Trust, L.P., in its sole discretion, that is on or after December 31, 2019 and prior to the date as of which compliance with the covenants in these Terms and Conditions is being determined (“</w:t>
      </w:r>
      <w:r>
        <w:rPr>
          <w:rFonts w:ascii="Times New Roman" w:hAnsi="Times New Roman"/>
          <w:i/>
          <w:sz w:val="20"/>
        </w:rPr>
        <w:t>Fixed GAAP</w:t>
      </w:r>
      <w:r>
        <w:rPr>
          <w:rFonts w:ascii="Times New Roman" w:hAnsi="Times New Roman"/>
          <w:sz w:val="20"/>
        </w:rPr>
        <w:t xml:space="preserve">”), and, solely for purposes of calculating the covenants as of such date, “GAAP” shall mean Fixed GAAP. </w:t>
      </w:r>
    </w:p>
    <w:p>
      <w:pPr>
        <w:pStyle w:val="TextBody"/>
        <w:bidi w:val="0"/>
        <w:spacing w:before="240" w:after="0"/>
        <w:jc w:val="left"/>
        <w:rPr/>
      </w:pPr>
      <w:r>
        <w:rPr/>
        <w:t>“</w:t>
      </w:r>
      <w:r>
        <w:rPr>
          <w:rFonts w:ascii="Times New Roman" w:hAnsi="Times New Roman"/>
          <w:i/>
          <w:sz w:val="20"/>
        </w:rPr>
        <w:t>Incur</w:t>
      </w:r>
      <w:r>
        <w:rPr>
          <w:rFonts w:ascii="Times New Roman" w:hAnsi="Times New Roman"/>
          <w:sz w:val="20"/>
        </w:rPr>
        <w:t xml:space="preserve">” means, with respect to any Indebtedness or other obligation of any Person, to create, assume, guarantee or otherwise become liable in respect of the Indebtedness or other obligation, and “Incurrence” and “Incurred” have meanings correlative to the foregoing. Indebtedness or other obligation of Digital Realty Trust, L.P. or any Subsidiary of Digital Realty Trust, L.P. will be deemed to be Incurred by Digital Realty Trust, L.P. or such Subsidiary whenever Digital Realty Trust, L.P. or such Subsidiary shall create, assume, guarantee or otherwise become liable in respect thereof. Indebtedness or other obligation of a Subsidiary of Digital Realty Trust, L.P. existing prior to the time it became a Subsidiary of Digital Realty Trust, L.P. will be deemed to be Incurred upon such Subsidiary becoming a Subsidiary of Digital Realty Trust, L.P.; and Indebtedness or other obligation of a Person existing prior to a merger or consolidation of such Person with Digital Realty Trust, L.P. or any Subsidiary of Digital Realty Trust, L.P. in which such Person is the successor to Digital Realty Trust, L.P. or such Subsidiary will be deemed to be Incurred upon the consummation of such merger or consolidation. Any issuance or transfer of capital stock that results in Indebtedness constituting Intercompany Indebtedness being held by a Person other than Digital Realty Trust, Inc., Digital Realty Trust, L.P. or any Consolidated Subsidiary or any sale or other transfer of any Indebtedness constituting Intercompany Indebtedness to a Person that is not Digital Realty Trust, Inc., Digital Realty Trust, L.P. or any Consolidated Subsidiary, will be deemed, in each case, to be an Incurrence of Indebtedness that is not Intercompany Indebtedness at the time of such issuance, transfer or sale, as the case may be. </w:t>
      </w:r>
    </w:p>
    <w:p>
      <w:pPr>
        <w:pStyle w:val="TextBody"/>
        <w:bidi w:val="0"/>
        <w:spacing w:before="240" w:after="0"/>
        <w:jc w:val="left"/>
        <w:rPr/>
      </w:pPr>
      <w:r>
        <w:rPr/>
        <w:t>“</w:t>
      </w:r>
      <w:r>
        <w:rPr>
          <w:rFonts w:ascii="Times New Roman" w:hAnsi="Times New Roman"/>
          <w:i/>
          <w:sz w:val="20"/>
        </w:rPr>
        <w:t>Indebtedness</w:t>
      </w:r>
      <w:r>
        <w:rPr>
          <w:rFonts w:ascii="Times New Roman" w:hAnsi="Times New Roman"/>
          <w:sz w:val="20"/>
        </w:rPr>
        <w:t xml:space="preserve">” of a Person means, without duplication, any indebtedness of such Person, whether or not contingent, in respect of: (a) borrowed money evidenced by bonds, notes, debentures or similar instruments whether or not such indebtedness is secured by any lien existing on property owned by such Person; (b) indebtedness for borrowed money of a Person other than such Person which is secured by any lien on property owned by such Person, to the extent of the lesser of (i) the amount of indebtedness so secured, and (ii) the fair market value of the property subject to such lien; (c)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(d) any lease of property by such Person as lessee which is reflected on such Person’s balance sheet as a financing lease in accordance with GAAP;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the case of this clause (d), Indebtedness excludes operating lease liabilities on a Person’s balance sheet in accordance with GAAP. Indebtedness also includes, to the extent not otherwise included and without duplication, any obligation by such Person to be liable for, or to pay, as obligor, guarantor or otherwise (other than for purposes of collection in the ordinary course of business), indebtedness of another Person of the type described in clauses (a)-(d) of this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definition. Notwithstanding the foregoing, with respect to Digital Realty Trust, Inc., Digital Realty Trust, L.P. or any Subsidiary, the term “</w:t>
      </w:r>
      <w:r>
        <w:rPr>
          <w:rFonts w:ascii="Times New Roman" w:hAnsi="Times New Roman"/>
          <w:i/>
          <w:sz w:val="20"/>
        </w:rPr>
        <w:t>Indebtedness</w:t>
      </w:r>
      <w:r>
        <w:rPr>
          <w:rFonts w:ascii="Times New Roman" w:hAnsi="Times New Roman"/>
          <w:sz w:val="20"/>
        </w:rPr>
        <w:t xml:space="preserve">” shall not include Permitted Non-Recourse Guarantees of Digital Realty Trust, Inc., Digital Realty Trust, L.P. or any Subsidiary until such time as they become primary obligations of, and payments are due and required to be made thereunder by, Digital Realty Trust, Inc., Digital Realty Trust, L.P. or any Subsidiary. </w:t>
      </w:r>
    </w:p>
    <w:p>
      <w:pPr>
        <w:pStyle w:val="TextBody"/>
        <w:bidi w:val="0"/>
        <w:spacing w:before="240" w:after="0"/>
        <w:jc w:val="left"/>
        <w:rPr/>
      </w:pPr>
      <w:r>
        <w:rPr/>
        <w:t>“</w:t>
      </w:r>
      <w:r>
        <w:rPr>
          <w:rFonts w:ascii="Times New Roman" w:hAnsi="Times New Roman"/>
          <w:i/>
          <w:sz w:val="20"/>
        </w:rPr>
        <w:t>Intercompany Indebtedness</w:t>
      </w:r>
      <w:r>
        <w:rPr>
          <w:rFonts w:ascii="Times New Roman" w:hAnsi="Times New Roman"/>
          <w:sz w:val="20"/>
        </w:rPr>
        <w:t xml:space="preserve">” means Indebtedness to which the only parties are any of Digital Realty Trust, Inc., Digital Realty Trust, L.P. and any Consolidated Subsidiary; provided, however, that with respect to any such Indebtedness of which Digital Constellation B.V., Digital Realty Trust, Inc. or Digital Realty Trust, L.P. is the borrower, such Indebtedness is subordinate in right of payment to the notes. </w:t>
      </w:r>
    </w:p>
    <w:p>
      <w:pPr>
        <w:pStyle w:val="TextBody"/>
        <w:bidi w:val="0"/>
        <w:spacing w:before="240" w:after="0"/>
        <w:jc w:val="left"/>
        <w:rPr/>
      </w:pPr>
      <w:r>
        <w:rPr/>
        <w:t>“</w:t>
      </w:r>
      <w:r>
        <w:rPr>
          <w:rFonts w:ascii="Times New Roman" w:hAnsi="Times New Roman"/>
          <w:i/>
          <w:sz w:val="20"/>
        </w:rPr>
        <w:t>Interest Expense</w:t>
      </w:r>
      <w:r>
        <w:rPr>
          <w:rFonts w:ascii="Times New Roman" w:hAnsi="Times New Roman"/>
          <w:sz w:val="20"/>
        </w:rPr>
        <w:t xml:space="preserve">” means, for any period of time, consolidated interest expense for such period of time, whether paid, accrued or capitalized, without deduction of consolidated interest income, of Digital Realty Trust, L.P. and its Consolidated Subsidiaries, including, without limitation or duplication, or, to the extent not so included, with the addition of (a) the portion of any rental obligation in respect of any financing lease obligation allocable to interest expense in accordance with GAAP and (b) the amortization of Indebtedness discounts, but excluding prepayment penalties, in all cases as reflected in the applicable Consolidated Financial Statements. “Interest Expense” will be calculated on a pro forma basis (x) for any Indebtedness Incurred by Digital Realty Trust, L.P. and its Consolidated Subsidiaries since the first day of the applicable period and the application of proceeds therefrom and (y) for the repayment or retirement of any Indebtedness by Digital Realty Trust, L.P. and its Consolidated Subsidiaries since the first day of the applicable period. </w:t>
      </w:r>
    </w:p>
    <w:p>
      <w:pPr>
        <w:pStyle w:val="TextBody"/>
        <w:bidi w:val="0"/>
        <w:spacing w:before="240" w:after="0"/>
        <w:jc w:val="left"/>
        <w:rPr/>
      </w:pPr>
      <w:r>
        <w:rPr/>
        <w:t>“</w:t>
      </w:r>
      <w:r>
        <w:rPr>
          <w:rFonts w:ascii="Times New Roman" w:hAnsi="Times New Roman"/>
          <w:i/>
          <w:sz w:val="20"/>
        </w:rPr>
        <w:t>Non-Recourse Indebtedness</w:t>
      </w:r>
      <w:r>
        <w:rPr>
          <w:rFonts w:ascii="Times New Roman" w:hAnsi="Times New Roman"/>
          <w:sz w:val="20"/>
        </w:rPr>
        <w:t xml:space="preserve">” means Indebtedness of a Subsidiary of Digital Realty Trust, L.P. (or an entity in which Digital Realty Trust, L.P. is the general partner or managing member) that is directly or indirectly secured by real estate assets or other real estate-related assets (including equity interests) of a Subsidiary of Digital Realty Trust, L.P. (or entity in which Digital Realty Trust, L.P. is the general partner or managing member) that is the borrower and is non-recourse to Digital Realty Trust, L.P. or any Subsidiary of Digital Realty Trust, L.P. (other than pursuant to a Permitted Non-Recourse Guarantee and other than with respect to the Subsidiary of Digital Realty Trust, L.P. (or entity in which Digital Realty Trust, L.P. is the general partner or managing member) that is the borrower); provided, further, that, if any such Indebtedness is partially recourse to Digital Realty Trust, L.P. or any Subsidiary of Digital Realty Trust, L.P. (other than pursuant to a Permitted Non-Recourse Guarantee and other than with respect to the Subsidiary of Digital Realty Trust, L.P. (or entity in which Digital Realty Trust, L.P. is the general partner or managing member) that is the borrower) and therefore does not meet the criteria set forth above, only the portion of such Indebtedness that does meet the criteria set forth above shall constitute “Non-Recourse Indebtedness.” </w:t>
      </w:r>
    </w:p>
    <w:p>
      <w:pPr>
        <w:pStyle w:val="TextBody"/>
        <w:bidi w:val="0"/>
        <w:spacing w:before="240" w:after="0"/>
        <w:jc w:val="left"/>
        <w:rPr/>
      </w:pPr>
      <w:r>
        <w:rPr/>
        <w:t>“</w:t>
      </w:r>
      <w:r>
        <w:rPr>
          <w:rFonts w:ascii="Times New Roman" w:hAnsi="Times New Roman"/>
          <w:i/>
          <w:sz w:val="20"/>
        </w:rPr>
        <w:t>Noteholders’ Representative</w:t>
      </w:r>
      <w:r>
        <w:rPr>
          <w:rFonts w:ascii="Times New Roman" w:hAnsi="Times New Roman"/>
          <w:sz w:val="20"/>
        </w:rPr>
        <w:t xml:space="preserve">” means UBS AG or its successor in its capacity as representative of the Noteholders as appointed in accordance with these Terms and Conditions. UBS AG is organized under the laws of Switzerland. </w:t>
      </w:r>
    </w:p>
    <w:p>
      <w:pPr>
        <w:pStyle w:val="TextBody"/>
        <w:bidi w:val="0"/>
        <w:spacing w:before="240" w:after="0"/>
        <w:jc w:val="left"/>
        <w:rPr/>
      </w:pPr>
      <w:r>
        <w:rPr/>
        <w:t>“</w:t>
      </w:r>
      <w:r>
        <w:rPr>
          <w:rFonts w:ascii="Times New Roman" w:hAnsi="Times New Roman"/>
          <w:i/>
          <w:sz w:val="20"/>
        </w:rPr>
        <w:t>Permitted Non-Recourse Guarantees</w:t>
      </w:r>
      <w:r>
        <w:rPr>
          <w:rFonts w:ascii="Times New Roman" w:hAnsi="Times New Roman"/>
          <w:sz w:val="20"/>
        </w:rPr>
        <w:t xml:space="preserve">” means customary completion or budget guarantees or indemnities (including by means of separate indemnification agreements and carve-out guarantees) provided under Non-Recourse Indebtedness in the ordinary course of business by Digital Realty Trust, L.P. or any Subsidiary of Digital Realty Trust, L.P. in financing transactions that are directly or indirectly secured by real estate assets or other real estate-related assets (including equity interests) of a Subsidiary of Digital Realty Trust, L.P. (or entity in which Digital Realty Trust, L.P. is the general partner or managing member), in each case that is the borrower in such financing, but is non-recourse to Digital Realty Trust, L.P. or any of Digital Realty Trust, L.P.’s other Subsidiaries, except for customary completion or budget guarantees or indemnities (including by means of separate indemnification agreements or carve-out guarantees) as are consistent with customary industry practice (such as environmental indemnities and recourse triggers based on violation of transfer restrictions and other customary exceptions to nonrecourse liability). </w:t>
      </w:r>
    </w:p>
    <w:p>
      <w:pPr>
        <w:pStyle w:val="TextBody"/>
        <w:bidi w:val="0"/>
        <w:spacing w:before="240" w:after="0"/>
        <w:jc w:val="left"/>
        <w:rPr/>
      </w:pPr>
      <w:r>
        <w:rPr/>
        <w:t>“</w:t>
      </w:r>
      <w:r>
        <w:rPr>
          <w:rFonts w:ascii="Times New Roman" w:hAnsi="Times New Roman"/>
          <w:i/>
          <w:sz w:val="20"/>
        </w:rPr>
        <w:t>Person</w:t>
      </w:r>
      <w:r>
        <w:rPr>
          <w:rFonts w:ascii="Times New Roman" w:hAnsi="Times New Roman"/>
          <w:sz w:val="20"/>
        </w:rPr>
        <w:t xml:space="preserve">” means a corporation, an association, a partnership, a limited liability company, an individual, a joint venture, a joint stock company, a trust, an unincorporated organization or a government or an agency or a political subdivision thereof. </w:t>
      </w:r>
    </w:p>
    <w:p>
      <w:pPr>
        <w:pStyle w:val="TextBody"/>
        <w:bidi w:val="0"/>
        <w:spacing w:before="240" w:after="0"/>
        <w:jc w:val="left"/>
        <w:rPr/>
      </w:pPr>
      <w:r>
        <w:rPr/>
        <w:t>“</w:t>
      </w:r>
      <w:r>
        <w:rPr>
          <w:rFonts w:ascii="Times New Roman" w:hAnsi="Times New Roman"/>
          <w:i/>
          <w:sz w:val="20"/>
        </w:rPr>
        <w:t>Redevelopment Property</w:t>
      </w:r>
      <w:r>
        <w:rPr>
          <w:rFonts w:ascii="Times New Roman" w:hAnsi="Times New Roman"/>
          <w:sz w:val="20"/>
        </w:rPr>
        <w:t xml:space="preserve">” means a property, or a distinct portion thereof, owned by Digital Realty Trust, L.P. or a Consolidated Subsidiary (a) where the commenced leased square footage is less than 60% of the sum of net rentable square feet and redevelopment space, with reasonable adjustments to leased square footage determined in good faith by Digital Realty Trust, L.P., including adjustments for available power, required support space and common area and (b) that Digital Realty Trust, L.P. reasonably characterizes as held in whole or in part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redevelopment. Notwithstanding the foregoing, any property will no longer be considered to be a “Redevelopment Property” at the point at which such property’s Consolidated EBITDA for the most recent quarterly period covered in the annual or quarterly report most recently furnished to holders or filed with the SEC, as the case may be, in accordance with these Terms and Conditions, prior to such time, annualized (i.e., multiplied by four (4)), capitalized at the Capitalization Rate exceeds its book value as determined in accordance with GAAP. For the avoidance of doubt, an individual parcel of property can be the site of one or more properties described in the immediately preceding sentence or Redevelopment Properties as determined in good faith by Digital Realty Trust, L.P. </w:t>
      </w:r>
    </w:p>
    <w:p>
      <w:pPr>
        <w:pStyle w:val="TextBody"/>
        <w:bidi w:val="0"/>
        <w:spacing w:before="240" w:after="0"/>
        <w:jc w:val="left"/>
        <w:rPr/>
      </w:pPr>
      <w:r>
        <w:rPr/>
        <w:t>“</w:t>
      </w:r>
      <w:r>
        <w:rPr>
          <w:rFonts w:ascii="Times New Roman" w:hAnsi="Times New Roman"/>
          <w:i/>
          <w:sz w:val="20"/>
        </w:rPr>
        <w:t>Secured Debt</w:t>
      </w:r>
      <w:r>
        <w:rPr>
          <w:rFonts w:ascii="Times New Roman" w:hAnsi="Times New Roman"/>
          <w:sz w:val="20"/>
        </w:rPr>
        <w:t xml:space="preserve">” means, as of any date, that portion of Total Outstanding Debt as of that date that is secured by a mortgage, trust deed, deed of trust, deeds to secure Indebtedness, pledge, security interest, assignment for collateral purposes, deposit arrangement, or other security agreement, excluding any right of setoff but including, without limitation, any conditional sale or other title retention agreement, any financing lease having substantially the same economic effect as any of the foregoing, and any other like agreement granting or conveying a security interest. </w:t>
      </w:r>
    </w:p>
    <w:p>
      <w:pPr>
        <w:pStyle w:val="TextBody"/>
        <w:bidi w:val="0"/>
        <w:spacing w:before="240" w:after="0"/>
        <w:jc w:val="left"/>
        <w:rPr/>
      </w:pPr>
      <w:r>
        <w:rPr/>
        <w:t>“</w:t>
      </w:r>
      <w:r>
        <w:rPr>
          <w:rFonts w:ascii="Times New Roman" w:hAnsi="Times New Roman"/>
          <w:i/>
          <w:sz w:val="20"/>
        </w:rPr>
        <w:t>Subsidiary</w:t>
      </w:r>
      <w:r>
        <w:rPr>
          <w:rFonts w:ascii="Times New Roman" w:hAnsi="Times New Roman"/>
          <w:sz w:val="20"/>
        </w:rPr>
        <w:t xml:space="preserve">” means, with respect to any Person, (a) any corporation, association or other business entity of which more than 50% of the total voting power of shares of capital stock or other equity interest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 and (b) any partnership (i) the sole general partner or managing general partner of which is such Person or a subsidiary of such Person or (ii) the only general partners of which are such Person or one or more subsidiaries of such Person (or any combination thereof). </w:t>
      </w:r>
    </w:p>
    <w:p>
      <w:pPr>
        <w:pStyle w:val="TextBody"/>
        <w:bidi w:val="0"/>
        <w:spacing w:before="240" w:after="0"/>
        <w:jc w:val="left"/>
        <w:rPr/>
      </w:pPr>
      <w:r>
        <w:rPr/>
        <w:t>“</w:t>
      </w:r>
      <w:r>
        <w:rPr>
          <w:rFonts w:ascii="Times New Roman" w:hAnsi="Times New Roman"/>
          <w:i/>
          <w:sz w:val="20"/>
        </w:rPr>
        <w:t>Total Assets</w:t>
      </w:r>
      <w:r>
        <w:rPr>
          <w:rFonts w:ascii="Times New Roman" w:hAnsi="Times New Roman"/>
          <w:sz w:val="20"/>
        </w:rPr>
        <w:t>” as of any date means the sum, without duplication, of (a) Consolidated EBITDA for the most recent quarterly period covered in Digital Realty Trust, L.P.’s annual or quarterly report most recently furnished to Noteholders or filed with the SEC, as the case may be, in the manner described in Condition 10(e) (</w:t>
      </w:r>
      <w:r>
        <w:rPr>
          <w:rFonts w:ascii="Times New Roman" w:hAnsi="Times New Roman"/>
          <w:i/>
          <w:sz w:val="20"/>
        </w:rPr>
        <w:t>Reports</w:t>
      </w:r>
      <w:r>
        <w:rPr>
          <w:rFonts w:ascii="Times New Roman" w:hAnsi="Times New Roman"/>
          <w:sz w:val="20"/>
        </w:rPr>
        <w:t xml:space="preserve">), prior to such time, annualized (i.e., multiplied by four (4)), capitalized at the Capitalization Rate, (b) the undepreciated cost basis of Digital Realty Trust, L.P. and its Consolidated Subsidiaries’ real property under construction and Redevelopment Property as of the end of the quarterly period used for purposes of clause (a) above, in each case as determined by Digital Realty Trust, L.P. in good faith, and (c) for all assets of Digital Realty Trust, L.P. and its Consolidated Subsidiaries other than the assets referred to in (a) and (b) above, the undepreciated book value as determined in accordance with GAAP (but excluding accounts receivable, intangible assets and right-of-use assets associated with leases of property required to be reflected as operating leases on the balance sheet of the annual or quarterly report most recently furnished to holders or filed with the SEC, as the case may be, in accordance with these Terms and Conditions, prior to such time). For the avoidance of doubt, (x) the assets in clause (c) of the immediately preceding sentence will include all cash and cash equivalents and the fair market value of all investments in equity securities with readily determinable fair value (but excluding all cash and cash equivalents applied to defease or discharge any indebtedness), and (y) an individual parcel of property can be the site of one or more properties, and separate portions of the same parcel of property can (i) contribute to Consolidated EBITDA in clause (a) of the immediately preceding sentence, (ii) be a Redevelopment Property or (iii) be real property under construction or land, in each case, as determined in good faith by Digital Realty Trust, L.P. </w:t>
      </w:r>
    </w:p>
    <w:p>
      <w:pPr>
        <w:pStyle w:val="TextBody"/>
        <w:bidi w:val="0"/>
        <w:spacing w:before="240" w:after="0"/>
        <w:jc w:val="left"/>
        <w:rPr/>
      </w:pPr>
      <w:r>
        <w:rPr/>
        <w:t>“</w:t>
      </w:r>
      <w:r>
        <w:rPr>
          <w:rFonts w:ascii="Times New Roman" w:hAnsi="Times New Roman"/>
          <w:i/>
          <w:sz w:val="20"/>
        </w:rPr>
        <w:t>Total Outstanding Debt</w:t>
      </w:r>
      <w:r>
        <w:rPr>
          <w:rFonts w:ascii="Times New Roman" w:hAnsi="Times New Roman"/>
          <w:sz w:val="20"/>
        </w:rPr>
        <w:t xml:space="preserve">” means, as of any date, the sum, without duplication, of (1) the aggregate principal amount of all outstanding Indebtedness of Digital Realty Trust, L.P. as of that date, excluding Intercompany Indebtedness; and (2) the aggregate principal amount of all outstanding Indebtedness of Digital Realty Trust, L.P.’s Consolidated Subsidiaries, all as of that date, excluding Intercompany Indebtedness. </w:t>
      </w:r>
    </w:p>
    <w:p>
      <w:pPr>
        <w:pStyle w:val="TextBody"/>
        <w:bidi w:val="0"/>
        <w:spacing w:before="240" w:after="0"/>
        <w:jc w:val="left"/>
        <w:rPr/>
      </w:pPr>
      <w:r>
        <w:rPr/>
        <w:t>“</w:t>
      </w:r>
      <w:r>
        <w:rPr>
          <w:rFonts w:ascii="Times New Roman" w:hAnsi="Times New Roman"/>
          <w:i/>
          <w:sz w:val="20"/>
        </w:rPr>
        <w:t>Total Unencumbered Assets</w:t>
      </w:r>
      <w:r>
        <w:rPr>
          <w:rFonts w:ascii="Times New Roman" w:hAnsi="Times New Roman"/>
          <w:sz w:val="20"/>
        </w:rPr>
        <w:t>” means, as of any time, the sum of (a) Unencumbered Consolidated EBITDA for the most recent quarterly period covered in Digital Realty Trust, L.P.’s annual or quarterly report most recently furnished to Noteholders or filed with the SEC, as the case may be, in the manner described in Condition 10(e) (</w:t>
      </w:r>
      <w:r>
        <w:rPr>
          <w:rFonts w:ascii="Times New Roman" w:hAnsi="Times New Roman"/>
          <w:i/>
          <w:sz w:val="20"/>
        </w:rPr>
        <w:t>Reports</w:t>
      </w:r>
      <w:r>
        <w:rPr>
          <w:rFonts w:ascii="Times New Roman" w:hAnsi="Times New Roman"/>
          <w:sz w:val="20"/>
        </w:rPr>
        <w:t xml:space="preserve">), prior to such time, annualized (i.e., multiplied by four (4)), capitalized at the Capitalization Rate, and (b) to the extent not subject to any Secured Debt, the value of the assets described in clauses (b) and (c) of the definition of Total Assets; provided, however, that all investments by Digital Realty Trust, L.P. and its Subsidiaries in unconsolidated joint ventures, unconsolidated limited partnerships, unconsolidated limited liability companies and other unconsolidated entities shall be excluded from Total Unencumbered Assets to the extent that such investments would have otherwise been included (it being understood that investments in equity securities with readily determinable fair value shall not be covered by this proviso; provided, however, that such investments in equity securities with readily determinable fair value are not securing, or applied to defease or discharge, in each case as of that date, any indebtedness, including mortgages and other notes payable).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Unencumbered Consolidated EBITDA</w:t>
      </w:r>
      <w:r>
        <w:rPr>
          <w:rFonts w:ascii="Times New Roman" w:hAnsi="Times New Roman"/>
          <w:sz w:val="20"/>
        </w:rPr>
        <w:t>” means, for any quarter, Consolidated EBITDA for the most recent quarterly period covered in Digital Realty Trust, L.P.’s annual or quarterly report most recently furnished to Noteholders or filed with the SEC, as the case may be, in the manner described in Condition 10(e) (</w:t>
      </w:r>
      <w:r>
        <w:rPr>
          <w:rFonts w:ascii="Times New Roman" w:hAnsi="Times New Roman"/>
          <w:i/>
          <w:sz w:val="20"/>
        </w:rPr>
        <w:t>Reports</w:t>
      </w:r>
      <w:r>
        <w:rPr>
          <w:rFonts w:ascii="Times New Roman" w:hAnsi="Times New Roman"/>
          <w:sz w:val="20"/>
        </w:rPr>
        <w:t xml:space="preserve">), prior to the time of determination, less any portion thereof attributable to any properties or assets subject to any Secured Debt, as determined in good faith by Digital Realty Trust, L.P. </w:t>
      </w:r>
    </w:p>
    <w:p>
      <w:pPr>
        <w:pStyle w:val="TextBody"/>
        <w:bidi w:val="0"/>
        <w:spacing w:before="240" w:after="0"/>
        <w:jc w:val="left"/>
        <w:rPr/>
      </w:pPr>
      <w:r>
        <w:rPr/>
        <w:t>“</w:t>
      </w:r>
      <w:r>
        <w:rPr>
          <w:rFonts w:ascii="Times New Roman" w:hAnsi="Times New Roman"/>
          <w:i/>
          <w:sz w:val="20"/>
        </w:rPr>
        <w:t>Unsecured Debt</w:t>
      </w:r>
      <w:r>
        <w:rPr>
          <w:rFonts w:ascii="Times New Roman" w:hAnsi="Times New Roman"/>
          <w:sz w:val="20"/>
        </w:rPr>
        <w:t xml:space="preserve">” means that portion of Total Outstanding Debt that is not Secured Debt.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 Protection in the Event of a Change of Control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notes will not contain any provisions that may afford Noteholders protection in the event the Issuer experiences a change in control or in the event of a highly leveraged transaction (whether or not such transaction results in a change in control) that could adversely affect Noteholders.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Merger, Consolidation or Sale </w:t>
            </w:r>
          </w:p>
        </w:tc>
      </w:tr>
    </w:tbl>
    <w:p>
      <w:pPr>
        <w:pStyle w:val="TextBody"/>
        <w:bidi w:val="0"/>
        <w:spacing w:before="120" w:after="0"/>
        <w:jc w:val="left"/>
        <w:rPr>
          <w:rFonts w:ascii="Times New Roman" w:hAnsi="Times New Roman"/>
          <w:sz w:val="20"/>
        </w:rPr>
      </w:pPr>
      <w:r>
        <w:rPr>
          <w:rFonts w:ascii="Times New Roman" w:hAnsi="Times New Roman"/>
          <w:sz w:val="20"/>
        </w:rPr>
        <w:t xml:space="preserve">Digital Constellation B.V., Digital Realty Trust, Inc., Digital Realty Trust, L.P. and Digital Intrepid Holding B.V. may consolidate with, or sell, lease or convey all or substantially all of their respective assets to, or merge with or into, any other entity, provided that the following conditions are met: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Digital Constellation B.V., Digital Realty Trust, Inc., Digital Realty Trust, L.P. or Digital Intrepid Holding B.V., as the case may be, shall be the continuing entity, or the successor entity (if other than Digital Constellation B.V., Digital Realty Trust, Inc., Digital Realty Trust, L.P. or Digital Intrepid Holding B.V., as the case may be) formed by or resulting from any consolidation or merger or which shall have received the transfer of assets shall expressly assume payment of the principal of and interest on all of the notes and the due and punctual performance and observance of all of the covenants and conditions in these Terms and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Event of Default under these Terms and Conditions, and no event which, after notice or the lapse of time, or both, would become an Event of Default, shall have occurred and be continuing;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officers’ certificate covering these conditions shall be delivered to the Noteholders’ Representative.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Events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following events are “Events of Default” with respect to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for 30 days in the payment of any installment of interest under the notes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the principal amount or redemption price due with respect to the notes of such series, when the same becomes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Issuer’s, Digital Realty Trust, Inc.’s, Digital Realty Trust, L.P.’s or Digital Intrepid Holding B.V.’s failure to comply with any of its or their respective other agreements in the notes or these Terms and Conditions with respect to such series upon receipt by the Issuer or them of notice of such default from holders of not less than 25% in aggregate principal amount of the notes of such series then outstanding and the Issuer’s or their failure to cure (or obtain a waiver of) such default within 90 days after the Issuer receives such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failure to pay any Indebtedness (other than Non-Recourse Indebtedness) that is (a) of the Issuer, Digital Realty Trust, Inc., Digital Realty Trust, L.P., Digital Intrepid Holding B.V., any Subsidiary in which Digital Realty Trust, L.P. has invested at least $125,000,000 in capital (a “</w:t>
            </w:r>
            <w:r>
              <w:rPr>
                <w:rFonts w:ascii="Times New Roman" w:hAnsi="Times New Roman"/>
                <w:i/>
                <w:sz w:val="20"/>
              </w:rPr>
              <w:t>Significant Subsidiary</w:t>
            </w:r>
            <w:r>
              <w:rPr>
                <w:rFonts w:ascii="Times New Roman" w:hAnsi="Times New Roman"/>
                <w:sz w:val="20"/>
              </w:rPr>
              <w:t xml:space="preserve">”) or any entity in which Digital Realty Trust, L.P. is the general partner, and (b) in an outstanding principal amount in excess of $125,000,000 at final maturity or upon acceleration after the expiration of any applicable grace period, which Indebtedness (other than Non-Recourse Indebtedness) is not discharged, or such default in payment or acceleration is not cured or rescinded, within 60 days after written notice to the Issuer or them from holders of at least 25% in principal amount of the outstanding notes of such series; or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the Guarantors or any Significant Subsidiary pursuant to or under or within meaning of any Bankruptcy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commences a voluntary case or proceeding seeking liquidation, reorganization or other relief with respect to the Issuer, the Guarantors or a Significant Subsidiary or its debts or seeking the appointment of a trustee, receiver, liquidator, custodian or other similar official of the Issuer, the Guarantors or a Significant Subsidiary or any substantial part of the property of the Issuer, the Guarantors or a Significant Subsidiary;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consents to any such relief or to the appointment of or taking possession by any such official in an involuntary case or other proceeding commenced against the Issuer, the Guarantors or a Significant Subsidiary;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consents to the appointment of a custodian of it or for all or substantially all of its property;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(D)</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makes a general assignment for the benefit of creditors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1"/>
        <w:gridCol w:w="9287"/>
      </w:tblGrid>
      <w:tr>
        <w:trPr/>
        <w:tc>
          <w:tcPr>
            <w:tcW w:w="407"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(vi)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involuntary case or other proceeding shall be commenced against the Issuer, the Guarantors or any Significant Subsidiary seeking liquidation, reorganization or other relief with respect to the Issuer, the Guarantors or a Significant Subsidiary or its debts under any bankruptcy, insolvency or other similar law now or hereafter in effect or seeking the appointment of a trustee, receiver, liquidator, custodian or other similar official of the Issuer, the Guarantors or a Significant Subsidiary or any substantial part of the property of the Issuer, the Guarantors or a Significant Subsidiary, and such involuntary case or other proceeding shall remain undismissed and unstayed for a period of thirty (30) calendar days;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court of competent jurisdiction enters an order or decree under any Bankruptcy Law that: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for relief against the Issuer, the Guarantors or any Significant Subsidiary in any involuntary case or proceeding;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appoints a trustee, receiver, liquidator, custodian or other similar official of the Issuer, the Guarantors or a Significant Subsidiary or any substantial part of the property of the Issuer, the Guarantors or a Significant Subsidiary;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orders the liquidation of the Issuer, the Guarantors or a Significant Subsidiary; and, in each case in this clause (vii), the order or decree remains unstayed and in effect for thirty (30) calendar days;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then, and in each and every such case (other than an Event of Default specified in Condition 14(a)(v), Condition 14(a)(vi) and Condition 14(a)(vii) with respect to the Issuer), unless the principal of all notes shall have already become due and payable, either the Noteholders’ Representative or the Noteholders of at least 25% in aggregate principal amount of the notes then outstanding, by notice in writing to the Issuer (and to the Noteholders’ Representative if given by the Noteholders), may declare the principal amount of and premium, if any, and interest accrued and unpaid on all the notes of such series to be immediately due and payable, and upon any such declaration the same shall be immediately due and payable. </w:t>
      </w:r>
    </w:p>
    <w:p>
      <w:pPr>
        <w:pStyle w:val="TextBody"/>
        <w:bidi w:val="0"/>
        <w:spacing w:before="120" w:after="0"/>
        <w:jc w:val="left"/>
        <w:rPr>
          <w:rFonts w:ascii="Times New Roman" w:hAnsi="Times New Roman"/>
          <w:sz w:val="20"/>
        </w:rPr>
      </w:pPr>
      <w:r>
        <w:rPr>
          <w:rFonts w:ascii="Times New Roman" w:hAnsi="Times New Roman"/>
          <w:sz w:val="20"/>
        </w:rPr>
        <w:t xml:space="preserve">If an Event of Default specified in Condition 14(a)(v), Condition 14(a)(vi) and Condition 14(a)(vii) occurs with respect to the Issuer, the principal amount of and premium, if any, and interest accrued and unpaid on all the notes of such series shall be immediately and automatically due and payable without necessity of further action.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 Event of Default under these Terms and Conditions with respect to the notes of a particular series occurs and is continuing (other than an Event of Default specified in the last bullet above, which shall result in an automatic acceleration), then, in every case, the Noteholders’ Representative or the holders of not less than 25% in principal amount of the outstanding notes of such series may declare the principal amount of all of the notes of such series to be due and payable immediately by written notice thereof to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Digital Constellation B.V. (and to the Noteholders’ Representative if given by the holders). However, at any time after the declaration of acceleration with respect to the notes of such series has been made, but before a judgment or decree for payment of the money due has been obtained by the Noteholders’ Representative, the holders of a majority in principal amount of outstanding notes of such series may rescind and annul the declaration and its consequences if: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Digital Realty Trust, Inc., Digital Realty Trust, L.P. or Digital Intrepid Holding B.V. shall have deposited with the Principal Paying Agent all required payments of the principal of and interest and premium on the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Events of Default, other than the non-payment of accelerated principal of (or specified portion thereof), or interest and premium on the notes of such series, have been cured or waived as provided in these Terms and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time after such a declaration of acceleration with respect to the notes has been made and before a judgment or decree for payment of the money due has been obtained by the Principal Paying Agent or the Noteholders’ Representative, the Noteholders holding not less than a majority in principal amount of the outstanding notes of a particular series may, by written notice to the Issuer, with copy to the Principal Paying Agent, on behalf of all of the Noteholders, waive any and all past defaults with respect to the notes of such series and rescind and annul such declaration and its consequences, except a default in the payment of the principal of or interest, if any, on any note and in respect of a covenant or provision contained in these Terms and Conditions that cannot be modified or amended without the consent of the Noteholder of each outstanding note of such series affected thereby. </w:t>
            </w:r>
          </w:p>
        </w:tc>
      </w:tr>
    </w:tbl>
    <w:p>
      <w:pPr>
        <w:pStyle w:val="TextBody"/>
        <w:bidi w:val="0"/>
        <w:spacing w:before="120" w:after="0"/>
        <w:jc w:val="left"/>
        <w:rPr>
          <w:rFonts w:ascii="Times New Roman" w:hAnsi="Times New Roman"/>
          <w:sz w:val="20"/>
        </w:rPr>
      </w:pPr>
      <w:r>
        <w:rPr>
          <w:rFonts w:ascii="Times New Roman" w:hAnsi="Times New Roman"/>
          <w:sz w:val="20"/>
        </w:rPr>
        <w:t xml:space="preserve">Upon any such waiver, such default shall cease to exist, and any Event of Default arising therefrom shall be deemed to have been cured, for every purpose of these Terms and Conditions of the Notes, and the Issuer, the Guarantors, the Principal Paying Agent, and the Noteholders shall be restored to their former positions and rights hereunder, respectively; but no such waiver shall extend to any subsequent or other default or impair any right consequent thereon.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 majority in principal amount of the outstanding notes (or of all the notes then outstanding, as the case may be) shall have the right to direct the time, method and place of conducting any proceeding for any remedy available to the Noteholders’ Representative, or of exercising any trust or power conferred upon the Noteholders’ Representative; provided, however that: (i) such direction shall not be in conflict with any rule of law or with these Terms and Conditions of the notes or the notes, (ii) the Noteholders’ Representative may take any other action deemed proper by the Noteholders’ Representative which is not inconsistent with such direction, (iii) such direction is not unduly prejudicial to the rights of Noteholders not taking part in such direction and (iv) such direction would not involve the Noteholders’ Representative in personal liability.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Modification, Waiver and Meetings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Modifications and amendments of these Terms and Conditions of the notes with respect to a particular series of notes will be permitted to be made only with the consent of the Noteholders of not less than a majority in aggregate principal amount of all outstanding notes of such series; provided, however, that no modification or amendment may, without the consent of each holder 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the notes whose holders must consent to an amendment or waiver;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rate of or extend the time for payment of interest (including default interest) on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of or premium on or change the fixed maturity of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default in the payment of the principal of or premium or interest on the notes (except a rescission of acceleration of the notes by the holders of at least a majority in aggregate principal amount of the then outstanding notes and a waiver of the payment default that resulted from such acceleration);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the principal of or premium or interest on the notes payable in a currency other than that stated in the notes;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to certain provisions of these Terms and Conditions relating to, among other things, the right of Noteholders to receive payment of the principal of or premium or interest on the notes and to institute suit for the enforcement of any such payment and to waivers or amendments;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redemption payment with respect to the notes;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release Digital Realty Trust, Inc., Digital Realty Trust, L.P. or Digital Intrepid Holding B.V. as Guarantors of the notes other than as provided in these Terms and Conditions or modify the Guarantees in any manner adverse to the Noteholders.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the foregoing, modifications and amendments of these Terms and Conditions with respect to a particular series of the notes will be permitted to be made by the Issuer, Digital Realty Trust, Inc., Digital Realty Trust, L.P., Digital Intrepid Holding B.V. and the Noteholders’ Representative without the consent of any holder of the notes for any of the following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in these Terms and Conditions of the notes or the notes; provided that this action shall not adversely affect the interests of Noteholders of such series of notes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 successor to the Issuer as obligor or Digital Realty Trust, Inc., Digital Realty Trust, L.P. or Digital Intrepid Holding B.V. as Guarantors with respect to such series of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interests of the Noteholders of such series of notes then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additional notes of such series in accordance with the limitations set forth in these Terms and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(v)</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acceptance of appointment by a successor Principal Paying Agent or Noteholders’ Representative;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the release of Digital Realty Trust, Inc., Digital Realty Trust, L.P. or Digital Intrepid Holding B.V., as Guarantors, in accordance with the provisions of the relevant Guarantees;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secure the notes of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guarantors with respect to any series of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(ix)</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conform the text of the notes of such series, the Guarantees (including any Guarantee) to any provision of these Terms and Conditions to the extent that such provision in these Terms and Conditions was intended to be a verbatim recitation of a provision of the Guarantees (including any Guarantee) or the notes (as certified in an officers’ certificate).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Notice of any such modification or amendment shall be published in accordance with Condition 17 (</w:t>
            </w:r>
            <w:r>
              <w:rPr>
                <w:rFonts w:ascii="Times New Roman" w:hAnsi="Times New Roman"/>
                <w:i/>
                <w:sz w:val="20"/>
              </w:rPr>
              <w:t>Notices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determining whether the holders of the requisite principal amount of outstanding notes of a particular series have given any request, demand, authorization, direction, notice, consent or waiver thereunder or whether a quorum is present at a meeting of holders of notes of such series, notes owned by Digital Constellation B.V. or any other obligor upon the notes, or any affiliate of Digital Constellation B.V. or of the other obligor shall be disregarded.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A meeting of the Noteholders (a “</w:t>
            </w:r>
            <w:r>
              <w:rPr>
                <w:rFonts w:ascii="Times New Roman" w:hAnsi="Times New Roman"/>
                <w:i/>
                <w:sz w:val="20"/>
              </w:rPr>
              <w:t>Noteholders’ Meeting</w:t>
            </w:r>
            <w:r>
              <w:rPr>
                <w:rFonts w:ascii="Times New Roman" w:hAnsi="Times New Roman"/>
                <w:sz w:val="20"/>
              </w:rPr>
              <w:t xml:space="preserve">”) of the applicable series of notes may be called at any time and from time to time pursuant to this Condition 15(e) to make, give or take any request, demand, authorization, direction, notice, consent, waiver or other action provided by these Terms and Conditions of the notes to be made, given or taken by the Noteholders.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A meeting will be permitted to be called at any time by the Noteholders’ Representative, and also, upon request, by the Issuer, Digital Realty Trust, Inc., Digital Realty Trust, L.P., Digital Intrepid Holding B.V. or the holders of at least 10% in principal amount of the outstanding notes of a particular series, in any case upon notice given as provided in accordance with Condition 17 (</w:t>
            </w:r>
            <w:r>
              <w:rPr>
                <w:rFonts w:ascii="Times New Roman" w:hAnsi="Times New Roman"/>
                <w:i/>
                <w:sz w:val="20"/>
              </w:rPr>
              <w:t>Notices</w:t>
            </w:r>
            <w:r>
              <w:rPr>
                <w:rFonts w:ascii="Times New Roman" w:hAnsi="Times New Roman"/>
                <w:sz w:val="20"/>
              </w:rPr>
              <w:t xml:space="preserve">).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case at any time the Issuer or any Guarantor, pursuant to a board resolution, or the Noteholders of at least 10% in principal amount of the outstanding notes of such series shall have requested the Noteholders’ Representative to call a Noteholders’ Meeting by written request setting forth in reasonable detail the action proposed to be taken at the meeting, and the Noteholders’ Representative shall not have made the first publication of the notice of such meeting within 21 days after receipt of such request or shall not thereafter proceed to cause the Noteholders’ Meeting to be held as provided herein, then the Issuer or any Guarantor or the Noteholders in the amount above specified, as the case may be, may determine the time and the place in the borough of Manhattan, The City of New York, or in Zurich for such meeting and may call such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entitled to vote at any Noteholders’ Meeting, a person shall be (1) a Noteholder or (2) a person appointed by an instrument in writing as proxy for a Noteholder or Noteholders. The only persons who shall be entitled to be present or to speak at any Noteholders’ Meeting shall be the persons entitled to vote at such Noteholders’ Meeting and their counsel, any representatives of the Noteholders’ Representative and its counsel and any representatives of the Issuer, any Guarantor and its counsel.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persons entitled to vote a majority in principal amount of the outstanding notes shall constitute a quorum for a Noteholders’ Meeting. In the absence of a quorum within 30 minutes of the time appointed for any such Noteholders’ Meeting, the Noteholders’ Meeting shall, if convened at the request of the Noteholders, be dissolved. In any other case, the Noteholders’ Meeting may be adjourned for a period of not less than 10 days as determined by the chairman of the meeting prior to the adjournment of such Noteholders’ Meeting. In the absence of a quorum at any such adjourned Noteholders’ Meeting, such adjourned Noteholders’ Meeting may be further adjourned for a period of not less than 10 days as determined by the chairman of the Noteholders’ Meeting prior to the adjournment of such adjourned Noteholders’ Meeting. Notice of the reconvening of any adjourned Noteholders’ Meeting shall be given as provided in Condition 17 (</w:t>
            </w:r>
            <w:r>
              <w:rPr>
                <w:rFonts w:ascii="Times New Roman" w:hAnsi="Times New Roman"/>
                <w:i/>
                <w:sz w:val="20"/>
              </w:rPr>
              <w:t>Notices</w:t>
            </w:r>
            <w:r>
              <w:rPr>
                <w:rFonts w:ascii="Times New Roman" w:hAnsi="Times New Roman"/>
                <w:sz w:val="20"/>
              </w:rPr>
              <w:t xml:space="preserve">), except that such notice need be given only once not less than five days prior to the date on which the Noteholders’ Meeting is scheduled to be reconvened. Notice of the reconvening of any adjourned meeting shall state expressly the percentage, as provided above, of the principal amount of the outstanding notes of such series which shall constitute a quorum.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(v)</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limited by the proviso to Condition 15(a), any resolution presented to a Noteholders’ Meeting or adjourned meeting duly reconvened at which a quorum is present as aforesaid may be adopted by the affirmative vote of the Noteholders of a majority in principal amount of the outstanding notes; provided, however, that, except as limited by the proviso of Condition 15(a) any resolution with respect to any request, demand, authorization, direction, notice, consent, waiver or other action which these Terms and Conditions expressly provide may be made, given or taken by the Noteholders of a specified percentage, which is less than a majority, in principal amount of the outstanding notes may be adopted at a Noteholders’ Meeting or an adjourned Noteholders’ Meeting duly reconvened and at which a quorum is present as aforesaid by the affirmative vote of the Noteholders of such specified percentage in principal amount of the outstanding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(vi)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resolution passed or decision taken at any Noteholders’ Meeting duly held in accordance with this Condition 15(e) shall be binding on all the Noteholders, whether or not present or represented at the Noteholders’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any provisions of these Terms and Conditions, the Noteholders’ Representative may make such reasonable regulations as it may deem advisable for any Noteholders’ Meeting in regard to proof of the holding of notes and of the appointment of proxies and in regard to the appointment and duties of inspectors of votes, the submission and examination or proxies, certificates and other evidence of the right to vote, and such other matters concerning the conduct of the Noteholders’ Meeting as it shall deem appropriate. Except as otherwise permitted or required by any such regulations, the holding of notes shall be proved by each Noteholder producing a certificate by a bank in respect of such notes relating to that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283"/>
              <w:jc w:val="left"/>
              <w:rPr/>
            </w:pPr>
            <w:r>
              <w:rPr/>
              <w:t>Noteholders’ Meeting confirming that such Noteholder is entitled to attend and to vote on the resolutions proposed at such Noteholders’ Meeting. Bank certificates shall be dated before the date of the Noteholders’ Meeting and confirm that the respective notes are deposited in a securities account (</w:t>
            </w:r>
            <w:r>
              <w:rPr>
                <w:i/>
              </w:rPr>
              <w:t>Effektenkonto</w:t>
            </w:r>
            <w:r>
              <w:rPr/>
              <w:t xml:space="preserve">) with that bank and will remain so deposited with such bank until and including the date of the Noteholders’ Meeting and that the bank has not issued any other such certificate with respect to such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(viii)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Noteholders’ Representative shall, by an instrument in writing, appoint a temporary chairman of the meeting, unless the Noteholders’ Meeting shall have been called by the Issuer, any Guarantor or by the Noteholders as provided in paragraph (ii) of this Condition 15(e), in which case the Issuer, any Guarantor or the Noteholders calling the Noteholders’ Meeting, as the case may be, shall in like manner appoint a temporary chairman. A permanent chairman and a permanent secretary of the Noteholders’ Meeting shall be elected by vote of the persons entitled to vote a majority in principal amount of the outstanding notes represented at the Noteholders’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(ix)</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any Noteholders’ Meeting each Noteholder or proxy shall be entitled to one vote for each CHF 5,000 principal amount of the outstanding note held or represented by it; provided, however, that no vote shall be cast or counted at any meeting in respect of any note challenged as not outstanding and ruled by the chairman of the Noteholders’ Meeting to be not outstanding. The chairman of the Noteholders’ Meeting shall have no right to vote, except as a Noteholder.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(x)</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Any Noteholders’ Meeting duly called pursuant to Condition 17 (</w:t>
            </w:r>
            <w:r>
              <w:rPr>
                <w:rFonts w:ascii="Times New Roman" w:hAnsi="Times New Roman"/>
                <w:i/>
                <w:sz w:val="20"/>
              </w:rPr>
              <w:t>Notices</w:t>
            </w:r>
            <w:r>
              <w:rPr>
                <w:rFonts w:ascii="Times New Roman" w:hAnsi="Times New Roman"/>
                <w:sz w:val="20"/>
              </w:rPr>
              <w:t xml:space="preserve">) at which a quorum is present may be adjourned from time to time by persons entitled to vote a majority in principal amount of the outstanding notes represented at the Noteholders’ Meeting; and the Noteholders’ Meeting may be held as so adjourned without further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(xi)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vote upon any resolution submitted to any Noteholders’ Meeting shall be by written ballots on which shall be subscribed the signatures of the Noteholders of such series of notes or of their representatives by proxy and the principal amounts and serial numbers of the outstanding notes held or represented by them. The permanent chairman of the Noteholders’ Meeting shall appoint two inspectors of votes who shall count all votes cast at the Noteholders’ Meeting for or against any resolution and who shall make and file with the secretary of the Noteholders’ Meeting their verified written reports in duplicate of all votes cast at the Noteholders’ Meeting. A record, at least in duplicate, of the proceedings of each Noteholders’ Meeting shall be prepared by the secretary of the Noteholders’ Meeting and there shall be attached to said record the original reports of the inspectors of votes on any vote by ballot taken thereat and affidavits by one or more persons having knowledge of the facts setting forth a copy of the notice of the Noteholders’ Meeting and showing that said notice was given as provided in Condition 17 (</w:t>
            </w:r>
            <w:r>
              <w:rPr>
                <w:rFonts w:ascii="Times New Roman" w:hAnsi="Times New Roman"/>
                <w:i/>
                <w:sz w:val="20"/>
              </w:rPr>
              <w:t>Notices</w:t>
            </w:r>
            <w:r>
              <w:rPr>
                <w:rFonts w:ascii="Times New Roman" w:hAnsi="Times New Roman"/>
                <w:sz w:val="20"/>
              </w:rPr>
              <w:t xml:space="preserve">). Each copy shall be signed and verified by the affidavits of the permanent chairman and secretary of the Noteholders’ Meeting and one such copy shall be delivered to the Issuer, and another to the Noteholders’ Representative to be preserved by the Noteholders’ Representative, the latter to have attached hereto the ballots voted at the Noteholders’ Meeting. Any record so signed and verified shall be conclusive evidence of the matters therein stated.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16.</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 Personal Liability of Directors, Officers, Employees and Stockholders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 director, officer, employee, incorporator, stockholder, member or partner of Digital Constellation B.V., Digital Realty Trust, Inc., Digital Realty Trust, L.P. or Digital Intrepid Holding B.V. or any of their respective Subsidiaries, as such, will have any liability for any obligations of Digital Constellation B.V., Digital Realty Trust, Inc., Digital Realty Trust, L.P. or Digital Intrepid Holding B.V. under the notes, these Terms and Conditions, any Guarantee or for any claim based on, in respect of, or by reason of, such obligations or their creation. Each holder of the notes by accepting a note waives and releases all such liability. The waiver and release are part of the consideration for issuance of the notes. The waiver may not be effective to waive liabilities under the federal securities laws.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Notices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All notices to the holders shall be valid if published in a manner which complies with the rules and regulations of SIX Swiss Exchange AG or any other relevant authority on which the notes are for the time being listed and so long as the notes are listed on SIX Swiss Exchange AG and the guidelines of SIX Swiss Exchange AG so require, filed with the Companies Announcement Office of SIX Swiss Exchange AG, in electronic form (a) on the internet site of the SIX Swiss Exchange under the section headed “Official Notices” (currently: </w:t>
      </w:r>
      <w:r>
        <w:rPr>
          <w:rFonts w:ascii="Times New Roman" w:hAnsi="Times New Roman"/>
          <w:sz w:val="20"/>
          <w:u w:val="single"/>
        </w:rPr>
        <w:t>www.six-group.com/en/products-services/the-swiss-stock-exchange/market-data-news-tools/official-notices.html#</w:t>
      </w:r>
      <w:r>
        <w:rPr>
          <w:rFonts w:ascii="Times New Roman" w:hAnsi="Times New Roman"/>
          <w:sz w:val="20"/>
        </w:rPr>
        <w:t xml:space="preserve">, or (b) otherwise in accordance with the regulations of the SIX Swiss Exchange. Any such notice will be deemed to have been given on the date of the first publication or, where required to be published in more than one newspaper, on the date of the first publication in all required newspapers. If publication as provided above is not practicable, notice will be given in such other manner, and shall be deemed to have been given on such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18.</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Prescription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accordance with New York law, claims for interest payments under the notes and claims for the repayment or redemption of notes shall become time barred after a period of six (6) years, calculated from their respective due dates, after such time the unclaimed funds will return to the Issuer.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19.</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Role of the Principal Paying Agent, Listing Agent and Noteholders’ Representative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UBS AG has been appointed by the Issuer as the Principal Paying Agent and as the listing agent with respect to the notes and it will also act on behalf of or for the benefit of the Noteholders as Noteholders’ Representative, but only in such cases stated explicitly in these Terms and Conditions. In any other cases, the Noteholders’ Representative is not obliged to take or to consider any actions on behalf of or for the benefit of the Noteholders. </w:t>
      </w:r>
    </w:p>
    <w:p>
      <w:pPr>
        <w:pStyle w:val="TextBody"/>
        <w:bidi w:val="0"/>
        <w:spacing w:before="240" w:after="0"/>
        <w:jc w:val="left"/>
        <w:rPr>
          <w:rFonts w:ascii="Times New Roman" w:hAnsi="Times New Roman"/>
          <w:sz w:val="20"/>
        </w:rPr>
      </w:pPr>
      <w:r>
        <w:rPr>
          <w:rFonts w:ascii="Times New Roman" w:hAnsi="Times New Roman"/>
          <w:sz w:val="20"/>
        </w:rPr>
        <w:t xml:space="preserve">If, at any time during the life of the notes, the Principal Paying Agent shall resign or become incapable of acting as Principal Paying Agent as contemplated by these Terms and Conditions or shall be adjudged bankrupt or insolvent, the Principal Paying Agent may be substituted by a successor Principal Paying Agent in Switzerland appointed by the Issuer. In the event of such replacement of the Principal Paying Agent, all references to the Principal Paying Agent shall be deemed to refer to such replacement. </w:t>
      </w:r>
    </w:p>
    <w:p>
      <w:pPr>
        <w:pStyle w:val="TextBody"/>
        <w:bidi w:val="0"/>
        <w:spacing w:before="240" w:after="0"/>
        <w:jc w:val="left"/>
        <w:rPr>
          <w:rFonts w:ascii="Times New Roman" w:hAnsi="Times New Roman"/>
          <w:sz w:val="20"/>
        </w:rPr>
      </w:pPr>
      <w:r>
        <w:rPr>
          <w:rFonts w:ascii="Times New Roman" w:hAnsi="Times New Roman"/>
          <w:sz w:val="20"/>
        </w:rPr>
        <w:t>Notice of such a replacement shall be published in accordance with Condition 17 (</w:t>
      </w:r>
      <w:r>
        <w:rPr>
          <w:rFonts w:ascii="Times New Roman" w:hAnsi="Times New Roman"/>
          <w:i/>
          <w:sz w:val="20"/>
        </w:rPr>
        <w:t>Notices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20.</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Purchases of Notes; Cancellation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any Guarantor or any of their respective affiliates may at any time purchase notes at any price in the open market or otherwise. Any purchase shall be made in accordance with applicable laws and regulations, including applicable stock exchange regulations. Such acquired notes may be held, resold or surrendered to the Principal Paying Agent for cancellation.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notes which are redeemed or surrendered to the Principal Paying Agent shall immediately be cancelled. All notes so cancelled cannot be reissued or resold.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If the Issuer elects to repurchase the notes pursuant to a tender offer or otherwise pursuant to this Condition 20 (</w:t>
            </w:r>
            <w:r>
              <w:rPr>
                <w:rFonts w:ascii="Times New Roman" w:hAnsi="Times New Roman"/>
                <w:i/>
                <w:sz w:val="20"/>
              </w:rPr>
              <w:t>Purchases of Notes; Cancellation</w:t>
            </w:r>
            <w:r>
              <w:rPr>
                <w:rFonts w:ascii="Times New Roman" w:hAnsi="Times New Roman"/>
                <w:sz w:val="20"/>
              </w:rPr>
              <w:t xml:space="preserve">), the Issuer may instruct the Principal Paying Agent to select notes to be repurchased and cancelled as required by SIX SIS or, if SIX SIS prescribes no method of selection, on a </w:t>
            </w:r>
            <w:r>
              <w:rPr>
                <w:rFonts w:ascii="Times New Roman" w:hAnsi="Times New Roman"/>
                <w:i/>
                <w:sz w:val="20"/>
              </w:rPr>
              <w:t xml:space="preserve">pro rata </w:t>
            </w:r>
            <w:r>
              <w:rPr>
                <w:rFonts w:ascii="Times New Roman" w:hAnsi="Times New Roman"/>
                <w:sz w:val="20"/>
              </w:rPr>
              <w:t xml:space="preserve">basis, by use of a pool factor. The Principal Paying Agent shall not be liable for any selections of notes made in accordance with this paragraph.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Severability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at any time any one or more of the provisions of these Terms and Conditions is or becomes unlawful, invalid, illegal or unenforceable in any respect under any law, the validity, legality and enforceability of the remaining provisions shall not be in any way affected or impaired thereby.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22.</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Governing Law and Jurisdiction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These Terms and Conditions, the notes and the Guarantees will be governed by, and construed in accordance with, the law of the State of New York without regard to conflict of law principles that would result in the application of any law other than the law of the State of New York.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Issuer irrevocably agrees that any suit, action or proceeding arising out of, related to, or in connection with these Terms and Conditions, the notes or the transactions contemplated hereby, and any action arising under U.S. federal or state securities laws, may be instituted in any U.S. federal or state court located in the State and City of New York, Borough of Manhattan; irrevocably waives, to the fullest extent it may effectively do so, any objection which it may now or hereafter have to the laying of venue of any such proceeding; and irrevocably submits to the jurisdiction of such courts in any such suit, action or proceeding. The Issuer expressly consents to the jurisdiction of any such court in respect of any such action and waives any other requirements of or objections to personal jurisdiction with respect thereto and waives any right to trial by jury. The Issuer and Digital Intrepid Holding B.V. have appointed National Registered Agents, Inc., 28 Liberty Street, New York, New York 10005, United States of America, as its authorized agent upon whom process may be served in any such suit, action or proceeding which may be instituted in any federal or state court located in the State of New York, Borough of Manhattan arising out of or based upon these Terms and Conditions, the notes or the transactions contemplated hereby or thereby, and any action brought under U.S. federal or state securities laws (the “</w:t>
      </w:r>
      <w:r>
        <w:rPr>
          <w:rFonts w:ascii="Times New Roman" w:hAnsi="Times New Roman"/>
          <w:i/>
          <w:sz w:val="20"/>
        </w:rPr>
        <w:t>Authorized Agent</w:t>
      </w:r>
      <w:r>
        <w:rPr>
          <w:rFonts w:ascii="Times New Roman" w:hAnsi="Times New Roman"/>
          <w:sz w:val="20"/>
        </w:rPr>
        <w:t xml:space="preserve">”). Such appointment shall be irrevocable unless and until replaced by an agent reasonably acceptable to the Noteholders’ Representative. The Issuer represents and warrants that the Authorized Agent has agreed to act as said agent for service of process, and the Issuer agrees to take any and all action, including the filing of any and all documents and instruments, that may be necessary to continue such appointment in full force and effect as aforesaid. Service of process upon the Authorized Agent and written notice of such service to the Issuer shall be deemed, in every respect, effective service of process upon the Issuer. </w:t>
      </w:r>
    </w:p>
    <w:p>
      <w:pPr>
        <w:pStyle w:val="TextBody"/>
        <w:bidi w:val="0"/>
        <w:spacing w:before="0" w:after="0"/>
        <w:jc w:val="right"/>
        <w:rPr>
          <w:rFonts w:ascii="Times New Roman" w:hAnsi="Times New Roman"/>
          <w:b/>
          <w:sz w:val="20"/>
        </w:rPr>
      </w:pPr>
      <w:bookmarkStart w:id="4" w:name="d191285dex42.htm"/>
      <w:bookmarkStart w:id="5" w:name="ksd191285dex42"/>
      <w:bookmarkEnd w:id="4"/>
      <w:bookmarkEnd w:id="5"/>
      <w:r>
        <w:rPr>
          <w:rFonts w:ascii="Times New Roman" w:hAnsi="Times New Roman"/>
          <w:b/>
          <w:sz w:val="20"/>
        </w:rPr>
        <w:t xml:space="preserve">Exhibit 4.2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Permanent Global Certificate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Globalurkunde auf Dauer</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20"/>
        </w:rPr>
      </w:pPr>
      <w:r>
        <w:rPr>
          <w:rFonts w:ascii="Times New Roman" w:hAnsi="Times New Roman"/>
          <w:b/>
          <w:sz w:val="20"/>
        </w:rPr>
        <w:t xml:space="preserve">CHF 225,000,000 </w:t>
      </w:r>
    </w:p>
    <w:p>
      <w:pPr>
        <w:pStyle w:val="TextBody"/>
        <w:bidi w:val="0"/>
        <w:spacing w:before="240" w:after="0"/>
        <w:jc w:val="center"/>
        <w:rPr>
          <w:rFonts w:ascii="Times New Roman" w:hAnsi="Times New Roman"/>
          <w:sz w:val="20"/>
        </w:rPr>
      </w:pPr>
      <w:r>
        <w:rPr>
          <w:rFonts w:ascii="Times New Roman" w:hAnsi="Times New Roman"/>
          <w:sz w:val="20"/>
        </w:rPr>
        <w:t xml:space="preserve">(225,000,000 Swiss francs) </w:t>
      </w:r>
    </w:p>
    <w:p>
      <w:pPr>
        <w:pStyle w:val="TextBody"/>
        <w:bidi w:val="0"/>
        <w:spacing w:before="240" w:after="0"/>
        <w:jc w:val="center"/>
        <w:rPr>
          <w:rFonts w:ascii="Times New Roman" w:hAnsi="Times New Roman"/>
          <w:b/>
          <w:sz w:val="20"/>
        </w:rPr>
      </w:pPr>
      <w:r>
        <w:rPr>
          <w:rFonts w:ascii="Times New Roman" w:hAnsi="Times New Roman"/>
          <w:b/>
          <w:sz w:val="20"/>
        </w:rPr>
        <w:t xml:space="preserve">Digital Constellation B.V. </w:t>
      </w:r>
    </w:p>
    <w:p>
      <w:pPr>
        <w:pStyle w:val="TextBody"/>
        <w:bidi w:val="0"/>
        <w:spacing w:before="240" w:after="0"/>
        <w:jc w:val="center"/>
        <w:rPr>
          <w:rFonts w:ascii="Times New Roman" w:hAnsi="Times New Roman"/>
          <w:sz w:val="20"/>
        </w:rPr>
      </w:pPr>
      <w:r>
        <w:rPr>
          <w:rFonts w:ascii="Times New Roman" w:hAnsi="Times New Roman"/>
          <w:sz w:val="20"/>
        </w:rPr>
        <w:t xml:space="preserve">H.J.E. Wenckebachweg 127 </w:t>
      </w:r>
    </w:p>
    <w:p>
      <w:pPr>
        <w:pStyle w:val="TextBody"/>
        <w:bidi w:val="0"/>
        <w:spacing w:before="240" w:after="0"/>
        <w:jc w:val="center"/>
        <w:rPr>
          <w:rFonts w:ascii="Times New Roman" w:hAnsi="Times New Roman"/>
          <w:sz w:val="20"/>
        </w:rPr>
      </w:pPr>
      <w:r>
        <w:rPr>
          <w:rFonts w:ascii="Times New Roman" w:hAnsi="Times New Roman"/>
          <w:sz w:val="20"/>
        </w:rPr>
        <w:t xml:space="preserve">1096 AM Amsterdam </w:t>
      </w:r>
    </w:p>
    <w:p>
      <w:pPr>
        <w:pStyle w:val="TextBody"/>
        <w:bidi w:val="0"/>
        <w:spacing w:before="240" w:after="0"/>
        <w:jc w:val="center"/>
        <w:rPr>
          <w:rFonts w:ascii="Times New Roman" w:hAnsi="Times New Roman"/>
          <w:sz w:val="20"/>
        </w:rPr>
      </w:pPr>
      <w:r>
        <w:rPr>
          <w:rFonts w:ascii="Times New Roman" w:hAnsi="Times New Roman"/>
          <w:sz w:val="20"/>
        </w:rPr>
        <w:t xml:space="preserve">The Netherlands </w:t>
      </w:r>
    </w:p>
    <w:p>
      <w:pPr>
        <w:pStyle w:val="TextBody"/>
        <w:bidi w:val="0"/>
        <w:spacing w:before="240" w:after="0"/>
        <w:jc w:val="center"/>
        <w:rPr>
          <w:rFonts w:ascii="Times New Roman" w:hAnsi="Times New Roman"/>
          <w:sz w:val="20"/>
        </w:rPr>
      </w:pPr>
      <w:r>
        <w:rPr>
          <w:rFonts w:ascii="Times New Roman" w:hAnsi="Times New Roman"/>
          <w:sz w:val="20"/>
        </w:rPr>
        <w:t xml:space="preserve">(organized under the laws of the Netherlands with its offices at H.J.E. Wenckebachweg 127, 1096 AM Amsterdam, the Netherlands) </w:t>
      </w:r>
    </w:p>
    <w:p>
      <w:pPr>
        <w:pStyle w:val="TextBody"/>
        <w:bidi w:val="0"/>
        <w:spacing w:before="240" w:after="0"/>
        <w:jc w:val="center"/>
        <w:rPr>
          <w:rFonts w:ascii="Times New Roman" w:hAnsi="Times New Roman"/>
          <w:b/>
          <w:sz w:val="20"/>
        </w:rPr>
      </w:pPr>
      <w:r>
        <w:rPr>
          <w:rFonts w:ascii="Times New Roman" w:hAnsi="Times New Roman"/>
          <w:b/>
          <w:sz w:val="20"/>
        </w:rPr>
        <w:t xml:space="preserve">1.6803 percent Green Senior Bonds due 2029 </w:t>
      </w:r>
    </w:p>
    <w:p>
      <w:pPr>
        <w:pStyle w:val="TextBody"/>
        <w:bidi w:val="0"/>
        <w:spacing w:before="240" w:after="0"/>
        <w:jc w:val="center"/>
        <w:rPr>
          <w:rFonts w:ascii="Times New Roman" w:hAnsi="Times New Roman"/>
          <w:sz w:val="20"/>
        </w:rPr>
      </w:pPr>
      <w:r>
        <w:rPr>
          <w:rFonts w:ascii="Times New Roman" w:hAnsi="Times New Roman"/>
          <w:sz w:val="20"/>
        </w:rPr>
        <w:t xml:space="preserve">(the </w:t>
      </w:r>
      <w:r>
        <w:rPr>
          <w:rFonts w:ascii="Times New Roman" w:hAnsi="Times New Roman"/>
          <w:b/>
          <w:sz w:val="20"/>
        </w:rPr>
        <w:t>Notes</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Swiss Security Number 160960524 / ISIN CH1609605246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Digital Constellation B.V., H.J.E. Wenckebachweg 127, 1096 AM Amsterdam, the Netherlands (the </w:t>
      </w:r>
      <w:r>
        <w:rPr>
          <w:rFonts w:ascii="Times New Roman" w:hAnsi="Times New Roman"/>
          <w:b/>
          <w:sz w:val="20"/>
        </w:rPr>
        <w:t>Issuer</w:t>
      </w:r>
      <w:r>
        <w:rPr>
          <w:rFonts w:ascii="Times New Roman" w:hAnsi="Times New Roman"/>
          <w:sz w:val="20"/>
        </w:rPr>
        <w:t>) owes to the bearer of this Permanent Global Certificate (</w:t>
      </w:r>
      <w:r>
        <w:rPr>
          <w:rFonts w:ascii="Times New Roman" w:hAnsi="Times New Roman"/>
          <w:i/>
          <w:sz w:val="20"/>
        </w:rPr>
        <w:t>Globalurkunde auf Dauer</w:t>
      </w:r>
      <w:r>
        <w:rPr>
          <w:rFonts w:ascii="Times New Roman" w:hAnsi="Times New Roman"/>
          <w:sz w:val="20"/>
        </w:rPr>
        <w:t xml:space="preserve">), upon presentation and surrender of this Permanent Global Certificate, the amount of CHF 225,000,000 (225,000,000 Swiss francs), plus interest at a rate of 1.6803 percent, in accordance with the Bond Purchase Agreement (the </w:t>
      </w:r>
      <w:r>
        <w:rPr>
          <w:rFonts w:ascii="Times New Roman" w:hAnsi="Times New Roman"/>
          <w:b/>
          <w:sz w:val="20"/>
        </w:rPr>
        <w:t>Agreement</w:t>
      </w:r>
      <w:r>
        <w:rPr>
          <w:rFonts w:ascii="Times New Roman" w:hAnsi="Times New Roman"/>
          <w:sz w:val="20"/>
        </w:rPr>
        <w:t xml:space="preserve">) and pursuant to the Terms and Conditions of the Notes (the </w:t>
      </w:r>
      <w:r>
        <w:rPr>
          <w:rFonts w:ascii="Times New Roman" w:hAnsi="Times New Roman"/>
          <w:b/>
          <w:sz w:val="20"/>
        </w:rPr>
        <w:t>Conditions of the Notes)</w:t>
      </w:r>
      <w:r>
        <w:rPr>
          <w:rFonts w:ascii="Times New Roman" w:hAnsi="Times New Roman"/>
          <w:sz w:val="20"/>
        </w:rPr>
        <w:t xml:space="preserve"> included as Schedule II thereto, concluded as of October 2, 2026 between the Issuer, Digital Realty Trust, Inc., Digital Realty Trust, L.P., Digital Intrepid Holding B.V., UBS AG and Deutsche Bank Aktiengesellschaft, acting through Deutsche Bank AG Zurich Branch. This Permanent Global Certificate has been delivered as part of an arrangement that results in the issuance of a debt obligation in “registered form” for United States federal income tax purposes. Capitalized terms used herein but not defined shall have the terms ascribed to them in the Conditions of the Notes.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Paying Agency Agreement dated as of October 2, 2026, (the </w:t>
      </w:r>
      <w:r>
        <w:rPr>
          <w:rFonts w:ascii="Times New Roman" w:hAnsi="Times New Roman"/>
          <w:b/>
          <w:sz w:val="20"/>
        </w:rPr>
        <w:t>Paying Agency Agreement</w:t>
      </w:r>
      <w:r>
        <w:rPr>
          <w:rFonts w:ascii="Times New Roman" w:hAnsi="Times New Roman"/>
          <w:sz w:val="20"/>
        </w:rPr>
        <w:t xml:space="preserve">), among the Issuer, Digital Realty Trust, Inc., Digital Realty Trust, L.P., Digital Intrepid Holding B.V., and UBS AG as principal paying agent (the </w:t>
      </w:r>
      <w:r>
        <w:rPr>
          <w:rFonts w:ascii="Times New Roman" w:hAnsi="Times New Roman"/>
          <w:b/>
          <w:sz w:val="20"/>
        </w:rPr>
        <w:t>Principal Paying Agent</w:t>
      </w:r>
      <w:r>
        <w:rPr>
          <w:rFonts w:ascii="Times New Roman" w:hAnsi="Times New Roman"/>
          <w:sz w:val="20"/>
        </w:rPr>
        <w:t xml:space="preserve">), the Principal Paying Agent undertakes to deposit this Permanent Global Certificate for the entire duration of the Notes and until their complete redemption with SIX SIS Ltd, Baslerstrasse 100, CH-4600 Olten, Switzerland (hereinafter referred to as </w:t>
      </w:r>
      <w:r>
        <w:rPr>
          <w:rFonts w:ascii="Times New Roman" w:hAnsi="Times New Roman"/>
          <w:b/>
          <w:sz w:val="20"/>
        </w:rPr>
        <w:t>SIX SIS</w:t>
      </w:r>
      <w:r>
        <w:rPr>
          <w:rFonts w:ascii="Times New Roman" w:hAnsi="Times New Roman"/>
          <w:sz w:val="20"/>
        </w:rPr>
        <w:t xml:space="preserve">) as recognized intermediary for such purposes by SIX Swiss Exchange Ltd except as provided in paragraph (c) of Condition 1 of the Conditions of the Notes. </w:t>
      </w:r>
    </w:p>
    <w:p>
      <w:pPr>
        <w:pStyle w:val="TextBody"/>
        <w:bidi w:val="0"/>
        <w:spacing w:before="240" w:after="0"/>
        <w:jc w:val="left"/>
        <w:rPr>
          <w:rFonts w:ascii="Times New Roman" w:hAnsi="Times New Roman"/>
          <w:sz w:val="20"/>
        </w:rPr>
      </w:pPr>
      <w:r>
        <w:rPr>
          <w:rFonts w:ascii="Times New Roman" w:hAnsi="Times New Roman"/>
          <w:sz w:val="20"/>
        </w:rPr>
        <w:t>Except as provided in paragraph (c) of Condition 1 of Conditions of the Notes, once the Permanent Global Certificate is deposited with SIX SIS, the Notes shall constitute intermediated securities (</w:t>
      </w:r>
      <w:r>
        <w:rPr>
          <w:rFonts w:ascii="Times New Roman" w:hAnsi="Times New Roman"/>
          <w:i/>
          <w:sz w:val="20"/>
        </w:rPr>
        <w:t>Bucheffekten</w:t>
      </w:r>
      <w:r>
        <w:rPr>
          <w:rFonts w:ascii="Times New Roman" w:hAnsi="Times New Roman"/>
          <w:sz w:val="20"/>
        </w:rPr>
        <w:t>) in accordance with the provisions of the Swiss Federal Intermediated Securities Act (</w:t>
      </w:r>
      <w:r>
        <w:rPr>
          <w:rFonts w:ascii="Times New Roman" w:hAnsi="Times New Roman"/>
          <w:i/>
          <w:sz w:val="20"/>
        </w:rPr>
        <w:t>Bucheffektengesetz</w:t>
      </w:r>
      <w:r>
        <w:rPr>
          <w:rFonts w:ascii="Times New Roman" w:hAnsi="Times New Roman"/>
          <w:sz w:val="20"/>
        </w:rPr>
        <w:t xml:space="preserve">) for the entire duration of the Notes. On behalf of the Issuer, SIX SIS shall maintain records of the number of Notes held through each participant in SIX SIS for the entire duration of the Notes and until their complete redemption, except as provided in paragraph (c) of Condition 1, and the Notes may only be transferred by the entry of the transferred Notes in a securities account of the transferee. </w:t>
      </w:r>
    </w:p>
    <w:p>
      <w:pPr>
        <w:pStyle w:val="TextBody"/>
        <w:bidi w:val="0"/>
        <w:spacing w:before="240" w:after="0"/>
        <w:jc w:val="left"/>
        <w:rPr>
          <w:rFonts w:ascii="Times New Roman" w:hAnsi="Times New Roman"/>
          <w:sz w:val="20"/>
        </w:rPr>
      </w:pPr>
      <w:r>
        <w:rPr>
          <w:rFonts w:ascii="Times New Roman" w:hAnsi="Times New Roman"/>
          <w:sz w:val="20"/>
        </w:rPr>
        <w:t>The records of SIX SIS will determine the number of Notes held through each participant in SIX SIS. In respect of Notes held in the form of intermediated securities the Holders will be the persons holding the Notes in a securities account (</w:t>
      </w:r>
      <w:r>
        <w:rPr>
          <w:rFonts w:ascii="Times New Roman" w:hAnsi="Times New Roman"/>
          <w:i/>
          <w:sz w:val="20"/>
        </w:rPr>
        <w:t>Effektenkonto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Neither the Issuer nor the Holder shall at any time have the right to effect or demand the conversion of the Permanent Global Certificate into, or the delivery of uncertificated securities (</w:t>
      </w:r>
      <w:r>
        <w:rPr>
          <w:rFonts w:ascii="Times New Roman" w:hAnsi="Times New Roman"/>
          <w:i/>
          <w:sz w:val="20"/>
        </w:rPr>
        <w:t>Wertrechte</w:t>
      </w:r>
      <w:r>
        <w:rPr>
          <w:rFonts w:ascii="Times New Roman" w:hAnsi="Times New Roman"/>
          <w:sz w:val="20"/>
        </w:rPr>
        <w:t>) or individually certificated securities (</w:t>
      </w:r>
      <w:r>
        <w:rPr>
          <w:rFonts w:ascii="Times New Roman" w:hAnsi="Times New Roman"/>
          <w:i/>
          <w:sz w:val="20"/>
        </w:rPr>
        <w:t>Wertpapiere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To the extent that SIX SIS is no longer able act as depositary, the Principal Paying Agent, in consultation with the Issuer, will deposit the Notes with another recognized depositary in accordance with the provisions of the Swiss Federal Intermediated Securities Act (</w:t>
      </w:r>
      <w:r>
        <w:rPr>
          <w:rFonts w:ascii="Times New Roman" w:hAnsi="Times New Roman"/>
          <w:i/>
          <w:sz w:val="20"/>
        </w:rPr>
        <w:t>Bucheffektengesetz</w:t>
      </w:r>
      <w:r>
        <w:rPr>
          <w:rFonts w:ascii="Times New Roman" w:hAnsi="Times New Roman"/>
          <w:sz w:val="20"/>
        </w:rPr>
        <w:t xml:space="preserve">) and such depositary shall be subject to all the obligations and requirements that apply to SIX SIS in respect of the Notes. </w:t>
      </w:r>
    </w:p>
    <w:p>
      <w:pPr>
        <w:pStyle w:val="TextBody"/>
        <w:bidi w:val="0"/>
        <w:spacing w:before="240" w:after="0"/>
        <w:jc w:val="left"/>
        <w:rPr>
          <w:rFonts w:ascii="Times New Roman" w:hAnsi="Times New Roman"/>
          <w:sz w:val="20"/>
        </w:rPr>
      </w:pPr>
      <w:r>
        <w:rPr>
          <w:rFonts w:ascii="Times New Roman" w:hAnsi="Times New Roman"/>
          <w:sz w:val="20"/>
        </w:rPr>
        <w:t xml:space="preserve">Individually certificated securities shall be issued only when no such depositary can be procured, and if they are to be issued, such securities will not be issued in bearer form, but exclusively in registered form such that the Notes qualify as being in “registered form” for United States federal income tax purposes whereby, inter alia, (i) the Noteholders of the individually certificated securities shall be registered in a register (the </w:t>
      </w:r>
      <w:r>
        <w:rPr>
          <w:rFonts w:ascii="Times New Roman" w:hAnsi="Times New Roman"/>
          <w:b/>
          <w:sz w:val="20"/>
        </w:rPr>
        <w:t>Register</w:t>
      </w:r>
      <w:r>
        <w:rPr>
          <w:rFonts w:ascii="Times New Roman" w:hAnsi="Times New Roman"/>
          <w:sz w:val="20"/>
        </w:rPr>
        <w:t xml:space="preserve">) to be established and maintained by a registrar (the </w:t>
      </w:r>
      <w:r>
        <w:rPr>
          <w:rFonts w:ascii="Times New Roman" w:hAnsi="Times New Roman"/>
          <w:b/>
          <w:sz w:val="20"/>
        </w:rPr>
        <w:t>Registrar</w:t>
      </w:r>
      <w:r>
        <w:rPr>
          <w:rFonts w:ascii="Times New Roman" w:hAnsi="Times New Roman"/>
          <w:sz w:val="20"/>
        </w:rPr>
        <w:t xml:space="preserve">) appointed by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Issuer and acting on its behalf after consultation with the Principal Paying Agent and duly notified to the Noteholders in accordance with the Conditions of the Notes, (ii) no transfer of the individually certificated securities shall be valid unless and until entered into the Register and (iii) any other requirement is satisfied to ensure that the Notes are treated as issued exclusively in registered form under Section 5f.103-1(c) of the United States Treasury Regulations and Section 1.163-5(b) of the Proposed United States Treasury Regulations (or any successor provisions). In the case Notes documented by individually certificated securities are delivered, the Permanent Global Certificate will immediately be cancelled by the Principal Paying Agent and the individually certificated securities shall be delivered instead to the Holders, who for this purpose must be registered in the Register, against cancellation of the intermediated securities in their respective securities accounts. Notes documented by individually certificated securities shall not be included in the records of SIX SIS or any other clearing system or any other intermediary and, therefore shall not constitute intermediated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of a new Holder by the Registrar will only occur upon presentation of the relevant individually certificated securities at the specified office of the Registrar or the Principal Paying Agent. No transfer of such individually certificated securities will be valid unless and until entered into the Register. Individually certificated securities may be registered only in the name of and transferred to a specified person. Only the duly registered Holder will be entitled to payments on the individually certificated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Permanent Global Certificate, including any claim or controversy arising out of or related to this Permanent Global Certificate, shall be governed by the laws of the State of New York. Each of the Issuer and the Principal Paying Agent hereby irrevocably waives, to the fullest extent permitted by applicable law, any and all right to trial by jury in any legal proceeding arising out of or relating to the Conditions of the Notes or the Notes. </w:t>
      </w:r>
    </w:p>
    <w:p>
      <w:pPr>
        <w:pStyle w:val="TextBody"/>
        <w:bidi w:val="0"/>
        <w:spacing w:before="240" w:after="0"/>
        <w:jc w:val="left"/>
        <w:rPr>
          <w:rFonts w:ascii="Times New Roman" w:hAnsi="Times New Roman"/>
          <w:sz w:val="20"/>
        </w:rPr>
      </w:pPr>
      <w:r>
        <w:rPr>
          <w:rFonts w:ascii="Times New Roman" w:hAnsi="Times New Roman"/>
          <w:sz w:val="20"/>
        </w:rPr>
        <w:t xml:space="preserve">The place of jurisdiction for any dispute, claim or controversy arising under, out of or in connection with or related to this Permanent Global Certificate shall be the courts of the State of New York or the courts of the United States of America located in the Borough of Manhattan, The City of New York.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and expressions not otherwise defined herein shall have the same meaning ascribed to them in the Conditions of the Notes. </w:t>
      </w:r>
    </w:p>
    <w:p>
      <w:pPr>
        <w:pStyle w:val="TextBody"/>
        <w:bidi w:val="0"/>
        <w:spacing w:before="240" w:after="0"/>
        <w:jc w:val="left"/>
        <w:rPr>
          <w:rFonts w:ascii="Times New Roman" w:hAnsi="Times New Roman"/>
          <w:sz w:val="20"/>
        </w:rPr>
      </w:pPr>
      <w:r>
        <w:rPr>
          <w:rFonts w:ascii="Times New Roman" w:hAnsi="Times New Roman"/>
          <w:sz w:val="20"/>
        </w:rPr>
        <w:t xml:space="preserve">THIS NOTE AND ANY INTEREST HEREIN HAVE NOT BEEN AND WILL NOT BE REGISTERED UNDER THE UNITED STATES SECURITIES ACT OF 1933, AS AMENDED (THE </w:t>
      </w:r>
      <w:r>
        <w:rPr>
          <w:rFonts w:ascii="Times New Roman" w:hAnsi="Times New Roman"/>
          <w:b/>
          <w:sz w:val="20"/>
        </w:rPr>
        <w:t>U.S. SECURITIES ACT</w:t>
      </w:r>
      <w:r>
        <w:rPr>
          <w:rFonts w:ascii="Times New Roman" w:hAnsi="Times New Roman"/>
          <w:sz w:val="20"/>
        </w:rPr>
        <w:t xml:space="preserve">), AND, ON OR PRIOR TO THE DATE (THE </w:t>
      </w:r>
      <w:r>
        <w:rPr>
          <w:rFonts w:ascii="Times New Roman" w:hAnsi="Times New Roman"/>
          <w:b/>
          <w:sz w:val="20"/>
        </w:rPr>
        <w:t>RESALE RESTRICTION TERMINATION DATE</w:t>
      </w:r>
      <w:r>
        <w:rPr>
          <w:rFonts w:ascii="Times New Roman" w:hAnsi="Times New Roman"/>
          <w:sz w:val="20"/>
        </w:rPr>
        <w:t>) WHICH IS 40 DAYS AFTER THE LATER OF THE COMMENCEMENT OF THE OFFER OF THIS NOTE AND THE ISSUE DATE OF THE OFFER OF THIS NOTE (OR SUCH SHORTER PERIOD OF TIME PERMITTED BY REGULATION S UNDER THE SECURITIES ACT OR ANY SUCCESSOR PROVISION THEREUNDER), MAY NOT BE OFFERED, SOLD, ASSIGNED, PLEDGED, ENCUMBERED OR OTHERWISE DISPOSED OF EXCEPT (I) TO NON-U.S. PERSONS IN AN OFFSHORE TRANSACTION IN ACCORDANCE WITH REGULATION S UNDER THE U.S. SECURITIES ACT (</w:t>
      </w:r>
      <w:r>
        <w:rPr>
          <w:rFonts w:ascii="Times New Roman" w:hAnsi="Times New Roman"/>
          <w:b/>
          <w:sz w:val="20"/>
        </w:rPr>
        <w:t>REGULATION S</w:t>
      </w:r>
      <w:r>
        <w:rPr>
          <w:rFonts w:ascii="Times New Roman" w:hAnsi="Times New Roman"/>
          <w:sz w:val="20"/>
        </w:rPr>
        <w:t xml:space="preserve">), TO THE GUARANTORS OR ANY SUBSIDIARY THEREOF; OR PURSUANT TO ANY OTHER AVAILABLE EXEMPTION FROM THE REGISTRATION REQUIREMENTS OF THE U.S. SECURITIES ACT AND (II) IN COMPLIANCE WITH ALL APPLICABLE LAWS OF ANY OTHER JURISDICTION. AFTER THE RESALE RESTRICTION TERMINATION DATE, THIS NOTE AND ANY INTEREST HEREIN MAY BE TRANSFERRED ONLY IN ACCORDANCE WITH THE U.S. SECURITIES ACT AND ALL APPLICABLE LAWS OF ANY OTHER JURISDICTION.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Amsterdam, the Netherlands, as of October 6, 2026 </w:t>
      </w:r>
    </w:p>
    <w:p>
      <w:pPr>
        <w:pStyle w:val="TextBody"/>
        <w:bidi w:val="0"/>
        <w:spacing w:before="240" w:after="0"/>
        <w:jc w:val="center"/>
        <w:rPr>
          <w:rFonts w:ascii="Times New Roman" w:hAnsi="Times New Roman"/>
          <w:b/>
          <w:sz w:val="20"/>
        </w:rPr>
      </w:pPr>
      <w:r>
        <w:rPr>
          <w:rFonts w:ascii="Times New Roman" w:hAnsi="Times New Roman"/>
          <w:b/>
          <w:sz w:val="20"/>
        </w:rPr>
        <w:t xml:space="preserve">Digital Constellation B.V.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34"/>
        <w:gridCol w:w="111"/>
        <w:gridCol w:w="1034"/>
        <w:gridCol w:w="126"/>
        <w:gridCol w:w="2732"/>
        <w:gridCol w:w="126"/>
        <w:gridCol w:w="2942"/>
      </w:tblGrid>
      <w:tr>
        <w:trPr/>
        <w:tc>
          <w:tcPr>
            <w:tcW w:w="3134"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942" w:type="dxa"/>
            <w:tcBorders/>
            <w:vAlign w:val="center"/>
          </w:tcPr>
          <w:p>
            <w:pPr>
              <w:pStyle w:val="TableContents"/>
              <w:bidi w:val="0"/>
              <w:spacing w:before="0" w:after="283"/>
              <w:jc w:val="left"/>
              <w:rPr>
                <w:sz w:val="4"/>
                <w:szCs w:val="4"/>
              </w:rPr>
            </w:pPr>
            <w:r>
              <w:rPr>
                <w:sz w:val="4"/>
                <w:szCs w:val="4"/>
              </w:rPr>
            </w:r>
          </w:p>
        </w:tc>
      </w:tr>
      <w:tr>
        <w:trPr/>
        <w:tc>
          <w:tcPr>
            <w:tcW w:w="3134"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1034" w:type="dxa"/>
            <w:tcBorders/>
          </w:tcPr>
          <w:p>
            <w:pPr>
              <w:pStyle w:val="TableContents"/>
              <w:bidi w:val="0"/>
              <w:spacing w:before="0" w:after="283"/>
              <w:jc w:val="right"/>
              <w:rPr/>
            </w:pPr>
            <w:r>
              <w:rPr/>
              <w:t>By:</w:t>
            </w:r>
          </w:p>
        </w:tc>
        <w:tc>
          <w:tcPr>
            <w:tcW w:w="126" w:type="dxa"/>
            <w:tcBorders/>
            <w:vAlign w:val="bottom"/>
          </w:tcPr>
          <w:p>
            <w:pPr>
              <w:pStyle w:val="TableContents"/>
              <w:bidi w:val="0"/>
              <w:spacing w:before="0" w:after="283"/>
              <w:jc w:val="left"/>
              <w:rPr/>
            </w:pPr>
            <w:r>
              <w:rPr/>
              <w:t>  </w:t>
            </w:r>
          </w:p>
        </w:tc>
        <w:tc>
          <w:tcPr>
            <w:tcW w:w="2732" w:type="dxa"/>
            <w:tcBorders/>
          </w:tcPr>
          <w:p>
            <w:pPr>
              <w:pStyle w:val="TableContents"/>
              <w:pBdr>
                <w:bottom w:val="single" w:sz="2" w:space="1" w:color="000000"/>
              </w:pBdr>
              <w:bidi w:val="0"/>
              <w:spacing w:before="0" w:after="20"/>
              <w:jc w:val="left"/>
              <w:rPr/>
            </w:pPr>
            <w:r>
              <w:rPr/>
              <w:t> </w:t>
            </w:r>
          </w:p>
        </w:tc>
        <w:tc>
          <w:tcPr>
            <w:tcW w:w="126" w:type="dxa"/>
            <w:tcBorders/>
            <w:vAlign w:val="bottom"/>
          </w:tcPr>
          <w:p>
            <w:pPr>
              <w:pStyle w:val="TableContents"/>
              <w:bidi w:val="0"/>
              <w:spacing w:before="0" w:after="283"/>
              <w:jc w:val="left"/>
              <w:rPr/>
            </w:pPr>
            <w:r>
              <w:rPr/>
              <w:t>  </w:t>
            </w:r>
          </w:p>
        </w:tc>
        <w:tc>
          <w:tcPr>
            <w:tcW w:w="2942" w:type="dxa"/>
            <w:tcBorders/>
          </w:tcPr>
          <w:p>
            <w:pPr>
              <w:pStyle w:val="TableContents"/>
              <w:bidi w:val="0"/>
              <w:spacing w:before="0" w:after="283"/>
              <w:jc w:val="left"/>
              <w:rPr>
                <w:sz w:val="4"/>
                <w:szCs w:val="4"/>
              </w:rPr>
            </w:pPr>
            <w:r>
              <w:rPr>
                <w:sz w:val="4"/>
                <w:szCs w:val="4"/>
              </w:rPr>
            </w:r>
          </w:p>
        </w:tc>
      </w:tr>
      <w:tr>
        <w:trPr/>
        <w:tc>
          <w:tcPr>
            <w:tcW w:w="3134"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1034" w:type="dxa"/>
            <w:tcBorders/>
          </w:tcPr>
          <w:p>
            <w:pPr>
              <w:pStyle w:val="TableContents"/>
              <w:bidi w:val="0"/>
              <w:spacing w:before="0" w:after="283"/>
              <w:jc w:val="right"/>
              <w:rPr/>
            </w:pPr>
            <w:r>
              <w:rPr/>
              <w:t>Name/Title:</w:t>
            </w:r>
          </w:p>
        </w:tc>
        <w:tc>
          <w:tcPr>
            <w:tcW w:w="126" w:type="dxa"/>
            <w:tcBorders/>
            <w:vAlign w:val="bottom"/>
          </w:tcPr>
          <w:p>
            <w:pPr>
              <w:pStyle w:val="TableContents"/>
              <w:bidi w:val="0"/>
              <w:spacing w:before="0" w:after="283"/>
              <w:jc w:val="left"/>
              <w:rPr/>
            </w:pPr>
            <w:r>
              <w:rPr/>
              <w:t>  </w:t>
            </w:r>
          </w:p>
        </w:tc>
        <w:tc>
          <w:tcPr>
            <w:tcW w:w="2732" w:type="dxa"/>
            <w:tcBorders/>
          </w:tcPr>
          <w:p>
            <w:pPr>
              <w:pStyle w:val="TableContents"/>
              <w:pBdr>
                <w:bottom w:val="single" w:sz="2" w:space="1" w:color="000000"/>
              </w:pBdr>
              <w:bidi w:val="0"/>
              <w:spacing w:before="0" w:after="20"/>
              <w:jc w:val="left"/>
              <w:rPr/>
            </w:pPr>
            <w:r>
              <w:rPr/>
              <w:t> </w:t>
            </w:r>
          </w:p>
        </w:tc>
        <w:tc>
          <w:tcPr>
            <w:tcW w:w="126" w:type="dxa"/>
            <w:tcBorders/>
            <w:vAlign w:val="bottom"/>
          </w:tcPr>
          <w:p>
            <w:pPr>
              <w:pStyle w:val="TableContents"/>
              <w:bidi w:val="0"/>
              <w:spacing w:before="0" w:after="283"/>
              <w:jc w:val="left"/>
              <w:rPr/>
            </w:pPr>
            <w:r>
              <w:rPr/>
              <w:t>  </w:t>
            </w:r>
          </w:p>
        </w:tc>
        <w:tc>
          <w:tcPr>
            <w:tcW w:w="2942" w:type="dxa"/>
            <w:tcBorders/>
          </w:tcPr>
          <w:p>
            <w:pPr>
              <w:pStyle w:val="TableContents"/>
              <w:bidi w:val="0"/>
              <w:spacing w:before="0" w:after="283"/>
              <w:jc w:val="left"/>
              <w:rPr>
                <w:sz w:val="4"/>
                <w:szCs w:val="4"/>
              </w:rPr>
            </w:pPr>
            <w:r>
              <w:rPr>
                <w:sz w:val="4"/>
                <w:szCs w:val="4"/>
              </w:rPr>
            </w:r>
          </w:p>
        </w:tc>
      </w:tr>
      <w:tr>
        <w:trPr/>
        <w:tc>
          <w:tcPr>
            <w:tcW w:w="3134"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103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732" w:type="dxa"/>
            <w:tcBorders/>
          </w:tcPr>
          <w:p>
            <w:pPr>
              <w:pStyle w:val="TableContents"/>
              <w:bidi w:val="0"/>
              <w:spacing w:before="0" w:after="283"/>
              <w:jc w:val="left"/>
              <w:rPr/>
            </w:pPr>
            <w:r>
              <w:rPr/>
              <w:t>Director</w:t>
            </w:r>
          </w:p>
        </w:tc>
        <w:tc>
          <w:tcPr>
            <w:tcW w:w="126" w:type="dxa"/>
            <w:tcBorders/>
            <w:vAlign w:val="bottom"/>
          </w:tcPr>
          <w:p>
            <w:pPr>
              <w:pStyle w:val="TableContents"/>
              <w:bidi w:val="0"/>
              <w:spacing w:before="0" w:after="283"/>
              <w:jc w:val="left"/>
              <w:rPr/>
            </w:pPr>
            <w:r>
              <w:rPr/>
              <w:t>  </w:t>
            </w:r>
          </w:p>
        </w:tc>
        <w:tc>
          <w:tcPr>
            <w:tcW w:w="2942"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This Permanent Global Certificate (</w:t>
      </w:r>
      <w:r>
        <w:rPr>
          <w:rFonts w:ascii="Times New Roman" w:hAnsi="Times New Roman"/>
          <w:i/>
          <w:sz w:val="20"/>
        </w:rPr>
        <w:t>Globalurkunde auf Dauer</w:t>
      </w:r>
      <w:r>
        <w:rPr>
          <w:rFonts w:ascii="Times New Roman" w:hAnsi="Times New Roman"/>
          <w:sz w:val="20"/>
        </w:rPr>
        <w:t xml:space="preserve">) becomes valid only if </w:t>
      </w:r>
    </w:p>
    <w:p>
      <w:pPr>
        <w:pStyle w:val="TextBody"/>
        <w:bidi w:val="0"/>
        <w:spacing w:before="0" w:after="0"/>
        <w:jc w:val="center"/>
        <w:rPr>
          <w:rFonts w:ascii="Times New Roman" w:hAnsi="Times New Roman"/>
          <w:sz w:val="20"/>
        </w:rPr>
      </w:pPr>
      <w:r>
        <w:rPr>
          <w:rFonts w:ascii="Times New Roman" w:hAnsi="Times New Roman"/>
          <w:sz w:val="20"/>
        </w:rPr>
        <w:t xml:space="preserve">countersigned by two (2) officials of UBS AG: </w:t>
      </w:r>
    </w:p>
    <w:p>
      <w:pPr>
        <w:pStyle w:val="TextBody"/>
        <w:bidi w:val="0"/>
        <w:spacing w:before="240" w:after="0"/>
        <w:jc w:val="center"/>
        <w:rPr>
          <w:rFonts w:ascii="Times New Roman" w:hAnsi="Times New Roman"/>
          <w:b/>
          <w:sz w:val="20"/>
        </w:rPr>
      </w:pPr>
      <w:r>
        <w:rPr>
          <w:rFonts w:ascii="Times New Roman" w:hAnsi="Times New Roman"/>
          <w:b/>
          <w:sz w:val="20"/>
        </w:rPr>
        <w:t xml:space="preserve">UBS AG </w:t>
      </w:r>
    </w:p>
    <w:p>
      <w:pPr>
        <w:pStyle w:val="TextBody"/>
        <w:bidi w:val="0"/>
        <w:spacing w:before="240" w:after="0"/>
        <w:jc w:val="center"/>
        <w:rPr>
          <w:rFonts w:ascii="Times New Roman" w:hAnsi="Times New Roman"/>
          <w:sz w:val="20"/>
        </w:rPr>
      </w:pPr>
      <w:r>
        <w:rPr>
          <w:rFonts w:ascii="Times New Roman" w:hAnsi="Times New Roman"/>
          <w:sz w:val="20"/>
        </w:rPr>
        <w:t xml:space="preserve">without recourse, warranty or liability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93"/>
        <w:gridCol w:w="111"/>
        <w:gridCol w:w="361"/>
        <w:gridCol w:w="111"/>
        <w:gridCol w:w="2797"/>
        <w:gridCol w:w="123"/>
        <w:gridCol w:w="361"/>
        <w:gridCol w:w="123"/>
        <w:gridCol w:w="2597"/>
        <w:gridCol w:w="123"/>
        <w:gridCol w:w="1605"/>
      </w:tblGrid>
      <w:tr>
        <w:trPr/>
        <w:tc>
          <w:tcPr>
            <w:tcW w:w="1893"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279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59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r>
      <w:tr>
        <w:trPr/>
        <w:tc>
          <w:tcPr>
            <w:tcW w:w="1893"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61" w:type="dxa"/>
            <w:tcBorders/>
          </w:tcPr>
          <w:p>
            <w:pPr>
              <w:pStyle w:val="TableContents"/>
              <w:bidi w:val="0"/>
              <w:spacing w:before="0" w:after="283"/>
              <w:jc w:val="left"/>
              <w:rPr/>
            </w:pPr>
            <w:r>
              <w:rPr/>
              <w:t>By:</w:t>
            </w:r>
          </w:p>
        </w:tc>
        <w:tc>
          <w:tcPr>
            <w:tcW w:w="111" w:type="dxa"/>
            <w:tcBorders/>
            <w:vAlign w:val="bottom"/>
          </w:tcPr>
          <w:p>
            <w:pPr>
              <w:pStyle w:val="TableContents"/>
              <w:bidi w:val="0"/>
              <w:spacing w:before="0" w:after="283"/>
              <w:jc w:val="left"/>
              <w:rPr/>
            </w:pPr>
            <w:r>
              <w:rPr/>
              <w:t> </w:t>
            </w:r>
          </w:p>
        </w:tc>
        <w:tc>
          <w:tcPr>
            <w:tcW w:w="2797" w:type="dxa"/>
            <w:tcBorders/>
          </w:tcPr>
          <w:p>
            <w:pPr>
              <w:pStyle w:val="TableContents"/>
              <w:pBdr>
                <w:bottom w:val="single" w:sz="2" w:space="1" w:color="000000"/>
              </w:pBdr>
              <w:bidi w:val="0"/>
              <w:spacing w:before="0" w:after="20"/>
              <w:jc w:val="left"/>
              <w:rPr/>
            </w:pPr>
            <w:r>
              <w:rPr/>
              <w:t> </w:t>
            </w:r>
          </w:p>
        </w:tc>
        <w:tc>
          <w:tcPr>
            <w:tcW w:w="123" w:type="dxa"/>
            <w:tcBorders/>
            <w:vAlign w:val="bottom"/>
          </w:tcPr>
          <w:p>
            <w:pPr>
              <w:pStyle w:val="TableContents"/>
              <w:bidi w:val="0"/>
              <w:spacing w:before="0" w:after="283"/>
              <w:jc w:val="left"/>
              <w:rPr/>
            </w:pPr>
            <w:r>
              <w:rPr/>
              <w:t>  </w:t>
            </w:r>
          </w:p>
        </w:tc>
        <w:tc>
          <w:tcPr>
            <w:tcW w:w="361" w:type="dxa"/>
            <w:tcBorders/>
          </w:tcPr>
          <w:p>
            <w:pPr>
              <w:pStyle w:val="TableContents"/>
              <w:bidi w:val="0"/>
              <w:spacing w:before="0" w:after="283"/>
              <w:jc w:val="left"/>
              <w:rPr/>
            </w:pPr>
            <w:r>
              <w:rPr/>
              <w:t>By:</w:t>
            </w:r>
          </w:p>
        </w:tc>
        <w:tc>
          <w:tcPr>
            <w:tcW w:w="123" w:type="dxa"/>
            <w:tcBorders/>
            <w:vAlign w:val="bottom"/>
          </w:tcPr>
          <w:p>
            <w:pPr>
              <w:pStyle w:val="TableContents"/>
              <w:bidi w:val="0"/>
              <w:spacing w:before="0" w:after="283"/>
              <w:jc w:val="left"/>
              <w:rPr/>
            </w:pPr>
            <w:r>
              <w:rPr/>
              <w:t>  </w:t>
            </w:r>
          </w:p>
        </w:tc>
        <w:tc>
          <w:tcPr>
            <w:tcW w:w="2597" w:type="dxa"/>
            <w:tcBorders/>
          </w:tcPr>
          <w:p>
            <w:pPr>
              <w:pStyle w:val="TableContents"/>
              <w:pBdr>
                <w:bottom w:val="single" w:sz="2" w:space="1" w:color="000000"/>
              </w:pBdr>
              <w:bidi w:val="0"/>
              <w:spacing w:before="0" w:after="20"/>
              <w:jc w:val="left"/>
              <w:rPr/>
            </w:pPr>
            <w:r>
              <w:rPr/>
              <w:t> </w:t>
            </w:r>
          </w:p>
        </w:tc>
        <w:tc>
          <w:tcPr>
            <w:tcW w:w="123" w:type="dxa"/>
            <w:tcBorders/>
            <w:vAlign w:val="bottom"/>
          </w:tcPr>
          <w:p>
            <w:pPr>
              <w:pStyle w:val="TableContents"/>
              <w:bidi w:val="0"/>
              <w:spacing w:before="0" w:after="283"/>
              <w:jc w:val="left"/>
              <w:rPr/>
            </w:pPr>
            <w:r>
              <w:rPr/>
              <w:t>  </w:t>
            </w:r>
          </w:p>
        </w:tc>
        <w:tc>
          <w:tcPr>
            <w:tcW w:w="1605"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Permanent Global Certificate (2029 Notes) </w:t>
      </w:r>
    </w:p>
    <w:p>
      <w:pPr>
        <w:pStyle w:val="TextBody"/>
        <w:bidi w:val="0"/>
        <w:spacing w:before="0" w:after="0"/>
        <w:jc w:val="right"/>
        <w:rPr>
          <w:rFonts w:ascii="Times New Roman" w:hAnsi="Times New Roman"/>
          <w:b/>
          <w:sz w:val="20"/>
        </w:rPr>
      </w:pPr>
      <w:bookmarkStart w:id="6" w:name="d191285dex43.htm"/>
      <w:bookmarkStart w:id="7" w:name="ksd191285dex43"/>
      <w:bookmarkEnd w:id="6"/>
      <w:bookmarkEnd w:id="7"/>
      <w:r>
        <w:rPr>
          <w:rFonts w:ascii="Times New Roman" w:hAnsi="Times New Roman"/>
          <w:b/>
          <w:sz w:val="20"/>
        </w:rPr>
        <w:t xml:space="preserve">Exhibit 4.3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Permanent Global Certificate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Globalurkunde auf Dauer</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20"/>
        </w:rPr>
      </w:pPr>
      <w:r>
        <w:rPr>
          <w:rFonts w:ascii="Times New Roman" w:hAnsi="Times New Roman"/>
          <w:b/>
          <w:sz w:val="20"/>
        </w:rPr>
        <w:t xml:space="preserve">CHF 185,000,000 </w:t>
      </w:r>
    </w:p>
    <w:p>
      <w:pPr>
        <w:pStyle w:val="TextBody"/>
        <w:bidi w:val="0"/>
        <w:spacing w:before="240" w:after="0"/>
        <w:jc w:val="center"/>
        <w:rPr>
          <w:rFonts w:ascii="Times New Roman" w:hAnsi="Times New Roman"/>
          <w:sz w:val="20"/>
        </w:rPr>
      </w:pPr>
      <w:r>
        <w:rPr>
          <w:rFonts w:ascii="Times New Roman" w:hAnsi="Times New Roman"/>
          <w:sz w:val="20"/>
        </w:rPr>
        <w:t xml:space="preserve">(185,000,000 Swiss francs) </w:t>
      </w:r>
    </w:p>
    <w:p>
      <w:pPr>
        <w:pStyle w:val="TextBody"/>
        <w:bidi w:val="0"/>
        <w:spacing w:before="240" w:after="0"/>
        <w:jc w:val="center"/>
        <w:rPr>
          <w:rFonts w:ascii="Times New Roman" w:hAnsi="Times New Roman"/>
          <w:b/>
          <w:sz w:val="20"/>
        </w:rPr>
      </w:pPr>
      <w:r>
        <w:rPr>
          <w:rFonts w:ascii="Times New Roman" w:hAnsi="Times New Roman"/>
          <w:b/>
          <w:sz w:val="20"/>
        </w:rPr>
        <w:t xml:space="preserve">Digital Constellation B.V. </w:t>
      </w:r>
    </w:p>
    <w:p>
      <w:pPr>
        <w:pStyle w:val="TextBody"/>
        <w:bidi w:val="0"/>
        <w:spacing w:before="240" w:after="0"/>
        <w:jc w:val="center"/>
        <w:rPr>
          <w:rFonts w:ascii="Times New Roman" w:hAnsi="Times New Roman"/>
          <w:sz w:val="20"/>
        </w:rPr>
      </w:pPr>
      <w:r>
        <w:rPr>
          <w:rFonts w:ascii="Times New Roman" w:hAnsi="Times New Roman"/>
          <w:sz w:val="20"/>
        </w:rPr>
        <w:t xml:space="preserve">H.J.E. Wenckebachweg 127 </w:t>
      </w:r>
    </w:p>
    <w:p>
      <w:pPr>
        <w:pStyle w:val="TextBody"/>
        <w:bidi w:val="0"/>
        <w:spacing w:before="240" w:after="0"/>
        <w:jc w:val="center"/>
        <w:rPr>
          <w:rFonts w:ascii="Times New Roman" w:hAnsi="Times New Roman"/>
          <w:sz w:val="20"/>
        </w:rPr>
      </w:pPr>
      <w:r>
        <w:rPr>
          <w:rFonts w:ascii="Times New Roman" w:hAnsi="Times New Roman"/>
          <w:sz w:val="20"/>
        </w:rPr>
        <w:t xml:space="preserve">1096 AM Amsterdam </w:t>
      </w:r>
    </w:p>
    <w:p>
      <w:pPr>
        <w:pStyle w:val="TextBody"/>
        <w:bidi w:val="0"/>
        <w:spacing w:before="240" w:after="0"/>
        <w:jc w:val="center"/>
        <w:rPr>
          <w:rFonts w:ascii="Times New Roman" w:hAnsi="Times New Roman"/>
          <w:sz w:val="20"/>
        </w:rPr>
      </w:pPr>
      <w:r>
        <w:rPr>
          <w:rFonts w:ascii="Times New Roman" w:hAnsi="Times New Roman"/>
          <w:sz w:val="20"/>
        </w:rPr>
        <w:t xml:space="preserve">The Netherlands </w:t>
      </w:r>
    </w:p>
    <w:p>
      <w:pPr>
        <w:pStyle w:val="TextBody"/>
        <w:bidi w:val="0"/>
        <w:spacing w:before="240" w:after="0"/>
        <w:jc w:val="center"/>
        <w:rPr>
          <w:rFonts w:ascii="Times New Roman" w:hAnsi="Times New Roman"/>
          <w:sz w:val="20"/>
        </w:rPr>
      </w:pPr>
      <w:r>
        <w:rPr>
          <w:rFonts w:ascii="Times New Roman" w:hAnsi="Times New Roman"/>
          <w:sz w:val="20"/>
        </w:rPr>
        <w:t xml:space="preserve">(organized under the laws of the Netherlands with its offices at H.J.E. Wenckebachweg 127, 1096 AM Amsterdam, the Netherlands) </w:t>
      </w:r>
    </w:p>
    <w:p>
      <w:pPr>
        <w:pStyle w:val="TextBody"/>
        <w:bidi w:val="0"/>
        <w:spacing w:before="240" w:after="0"/>
        <w:jc w:val="center"/>
        <w:rPr>
          <w:rFonts w:ascii="Times New Roman" w:hAnsi="Times New Roman"/>
          <w:b/>
          <w:sz w:val="20"/>
        </w:rPr>
      </w:pPr>
      <w:r>
        <w:rPr>
          <w:rFonts w:ascii="Times New Roman" w:hAnsi="Times New Roman"/>
          <w:b/>
          <w:sz w:val="20"/>
        </w:rPr>
        <w:t xml:space="preserve">2.0600 percent Green Senior Bonds due 2032 </w:t>
      </w:r>
    </w:p>
    <w:p>
      <w:pPr>
        <w:pStyle w:val="TextBody"/>
        <w:bidi w:val="0"/>
        <w:spacing w:before="240" w:after="0"/>
        <w:jc w:val="center"/>
        <w:rPr>
          <w:rFonts w:ascii="Times New Roman" w:hAnsi="Times New Roman"/>
          <w:sz w:val="20"/>
        </w:rPr>
      </w:pPr>
      <w:r>
        <w:rPr>
          <w:rFonts w:ascii="Times New Roman" w:hAnsi="Times New Roman"/>
          <w:sz w:val="20"/>
        </w:rPr>
        <w:t xml:space="preserve">(the </w:t>
      </w:r>
      <w:r>
        <w:rPr>
          <w:rFonts w:ascii="Times New Roman" w:hAnsi="Times New Roman"/>
          <w:b/>
          <w:sz w:val="20"/>
        </w:rPr>
        <w:t>Notes</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Swiss Security Number 160960525 / ISIN CH1609605253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Digital Constellation B.V., H.J.E. Wenckebachweg 127, 1096 AM Amsterdam, the Netherlands (the </w:t>
      </w:r>
      <w:r>
        <w:rPr>
          <w:rFonts w:ascii="Times New Roman" w:hAnsi="Times New Roman"/>
          <w:b/>
          <w:sz w:val="20"/>
        </w:rPr>
        <w:t>Issuer</w:t>
      </w:r>
      <w:r>
        <w:rPr>
          <w:rFonts w:ascii="Times New Roman" w:hAnsi="Times New Roman"/>
          <w:sz w:val="20"/>
        </w:rPr>
        <w:t>) owes to the bearer of this Permanent Global Certificate (</w:t>
      </w:r>
      <w:r>
        <w:rPr>
          <w:rFonts w:ascii="Times New Roman" w:hAnsi="Times New Roman"/>
          <w:i/>
          <w:sz w:val="20"/>
        </w:rPr>
        <w:t>Globalurkunde auf Dauer</w:t>
      </w:r>
      <w:r>
        <w:rPr>
          <w:rFonts w:ascii="Times New Roman" w:hAnsi="Times New Roman"/>
          <w:sz w:val="20"/>
        </w:rPr>
        <w:t xml:space="preserve">), upon presentation and surrender of this Permanent Global Certificate, the amount of CHF 185,000,000 (185,000,000 Swiss francs), plus interest at a rate of 2.0600 percent, in accordance with the Bond Purchase Agreement (the </w:t>
      </w:r>
      <w:r>
        <w:rPr>
          <w:rFonts w:ascii="Times New Roman" w:hAnsi="Times New Roman"/>
          <w:b/>
          <w:sz w:val="20"/>
        </w:rPr>
        <w:t>Agreement</w:t>
      </w:r>
      <w:r>
        <w:rPr>
          <w:rFonts w:ascii="Times New Roman" w:hAnsi="Times New Roman"/>
          <w:sz w:val="20"/>
        </w:rPr>
        <w:t xml:space="preserve">) and pursuant to the Terms and Conditions of the Notes (the </w:t>
      </w:r>
      <w:r>
        <w:rPr>
          <w:rFonts w:ascii="Times New Roman" w:hAnsi="Times New Roman"/>
          <w:b/>
          <w:sz w:val="20"/>
        </w:rPr>
        <w:t>Conditions of the Notes)</w:t>
      </w:r>
      <w:r>
        <w:rPr>
          <w:rFonts w:ascii="Times New Roman" w:hAnsi="Times New Roman"/>
          <w:sz w:val="20"/>
        </w:rPr>
        <w:t xml:space="preserve"> included as Schedule II thereto, concluded as of October 2, 2026 between the Issuer, Digital Realty Trust, Inc., Digital Realty Trust, L.P., Digital Intrepid Holding B.V., UBS AG and Deutsche Bank Aktiengesellschaft, acting through Deutsche Bank AG Zurich Branch. This Permanent Global Certificate has been delivered as part of an arrangement that results in the issuance of a debt obligation in “registered form” for United States federal income tax purposes. Capitalized terms used herein but not defined shall have the terms ascribed to them in the Conditions of the Notes.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Paying Agency Agreement dated as of October 2, 2026, (the </w:t>
      </w:r>
      <w:r>
        <w:rPr>
          <w:rFonts w:ascii="Times New Roman" w:hAnsi="Times New Roman"/>
          <w:b/>
          <w:sz w:val="20"/>
        </w:rPr>
        <w:t>Paying Agency Agreement</w:t>
      </w:r>
      <w:r>
        <w:rPr>
          <w:rFonts w:ascii="Times New Roman" w:hAnsi="Times New Roman"/>
          <w:sz w:val="20"/>
        </w:rPr>
        <w:t xml:space="preserve">), among the Issuer, Digital Realty Trust, Inc., Digital Realty Trust, L.P., Digital Intrepid Holding B.V., and UBS AG as principal paying agent (the </w:t>
      </w:r>
      <w:r>
        <w:rPr>
          <w:rFonts w:ascii="Times New Roman" w:hAnsi="Times New Roman"/>
          <w:b/>
          <w:sz w:val="20"/>
        </w:rPr>
        <w:t>Principal Paying Agent</w:t>
      </w:r>
      <w:r>
        <w:rPr>
          <w:rFonts w:ascii="Times New Roman" w:hAnsi="Times New Roman"/>
          <w:sz w:val="20"/>
        </w:rPr>
        <w:t xml:space="preserve">), the Principal Paying Agent undertakes to deposit this Permanent Global Certificate for the entire duration of the Notes and until their complete redemption with SIX SIS Ltd, Baslerstrasse 100, CH-4600 Olten, Switzerland (hereinafter referred to as </w:t>
      </w:r>
      <w:r>
        <w:rPr>
          <w:rFonts w:ascii="Times New Roman" w:hAnsi="Times New Roman"/>
          <w:b/>
          <w:sz w:val="20"/>
        </w:rPr>
        <w:t>SIX SIS</w:t>
      </w:r>
      <w:r>
        <w:rPr>
          <w:rFonts w:ascii="Times New Roman" w:hAnsi="Times New Roman"/>
          <w:sz w:val="20"/>
        </w:rPr>
        <w:t xml:space="preserve">) as recognized intermediary for such purposes by SIX Swiss Exchange Ltd except as provided in paragraph (c) of Condition 1 of the Conditions of the Notes. </w:t>
      </w:r>
    </w:p>
    <w:p>
      <w:pPr>
        <w:pStyle w:val="TextBody"/>
        <w:bidi w:val="0"/>
        <w:spacing w:before="240" w:after="0"/>
        <w:jc w:val="left"/>
        <w:rPr>
          <w:rFonts w:ascii="Times New Roman" w:hAnsi="Times New Roman"/>
          <w:sz w:val="20"/>
        </w:rPr>
      </w:pPr>
      <w:r>
        <w:rPr>
          <w:rFonts w:ascii="Times New Roman" w:hAnsi="Times New Roman"/>
          <w:sz w:val="20"/>
        </w:rPr>
        <w:t>Except as provided in paragraph (c) of Condition 1 of Conditions of the Notes, once the Permanent Global Certificate is deposited with SIX SIS, the Notes shall constitute intermediated securities (</w:t>
      </w:r>
      <w:r>
        <w:rPr>
          <w:rFonts w:ascii="Times New Roman" w:hAnsi="Times New Roman"/>
          <w:i/>
          <w:sz w:val="20"/>
        </w:rPr>
        <w:t>Bucheffekten</w:t>
      </w:r>
      <w:r>
        <w:rPr>
          <w:rFonts w:ascii="Times New Roman" w:hAnsi="Times New Roman"/>
          <w:sz w:val="20"/>
        </w:rPr>
        <w:t>) in accordance with the provisions of the Swiss Federal Intermediated Securities Act (</w:t>
      </w:r>
      <w:r>
        <w:rPr>
          <w:rFonts w:ascii="Times New Roman" w:hAnsi="Times New Roman"/>
          <w:i/>
          <w:sz w:val="20"/>
        </w:rPr>
        <w:t>Bucheffektengesetz</w:t>
      </w:r>
      <w:r>
        <w:rPr>
          <w:rFonts w:ascii="Times New Roman" w:hAnsi="Times New Roman"/>
          <w:sz w:val="20"/>
        </w:rPr>
        <w:t xml:space="preserve">) for the entire duration of the Notes. On behalf of the Issuer, SIX SIS shall maintain records of the number of Notes held through each participant in SIX SIS for the entire duration of the Notes and until their complete redemption, except as provided in paragraph (c) of Condition 1, and the Notes may only be transferred by the entry of the transferred Notes in a securities account of the transferee. </w:t>
      </w:r>
    </w:p>
    <w:p>
      <w:pPr>
        <w:pStyle w:val="TextBody"/>
        <w:bidi w:val="0"/>
        <w:spacing w:before="240" w:after="0"/>
        <w:jc w:val="left"/>
        <w:rPr>
          <w:rFonts w:ascii="Times New Roman" w:hAnsi="Times New Roman"/>
          <w:sz w:val="20"/>
        </w:rPr>
      </w:pPr>
      <w:r>
        <w:rPr>
          <w:rFonts w:ascii="Times New Roman" w:hAnsi="Times New Roman"/>
          <w:sz w:val="20"/>
        </w:rPr>
        <w:t>The records of SIX SIS will determine the number of Notes held through each participant in SIX SIS. In respect of Notes held in the form of intermediated securities the Holders will be the persons holding the Notes in a securities account (</w:t>
      </w:r>
      <w:r>
        <w:rPr>
          <w:rFonts w:ascii="Times New Roman" w:hAnsi="Times New Roman"/>
          <w:i/>
          <w:sz w:val="20"/>
        </w:rPr>
        <w:t>Effektenkonto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Neither the Issuer nor the Holder shall at any time have the right to effect or demand the conversion of the Permanent Global Certificate into, or the delivery of uncertificated securities (</w:t>
      </w:r>
      <w:r>
        <w:rPr>
          <w:rFonts w:ascii="Times New Roman" w:hAnsi="Times New Roman"/>
          <w:i/>
          <w:sz w:val="20"/>
        </w:rPr>
        <w:t>Wertrechte</w:t>
      </w:r>
      <w:r>
        <w:rPr>
          <w:rFonts w:ascii="Times New Roman" w:hAnsi="Times New Roman"/>
          <w:sz w:val="20"/>
        </w:rPr>
        <w:t>) or individually certificated securities (</w:t>
      </w:r>
      <w:r>
        <w:rPr>
          <w:rFonts w:ascii="Times New Roman" w:hAnsi="Times New Roman"/>
          <w:i/>
          <w:sz w:val="20"/>
        </w:rPr>
        <w:t>Wertpapiere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To the extent that SIX SIS is no longer able act as depositary, the Principal Paying Agent, in consultation with the Issuer, will deposit the Notes with another recognized depositary in accordance with the provisions of the Swiss Federal Intermediated Securities Act (</w:t>
      </w:r>
      <w:r>
        <w:rPr>
          <w:rFonts w:ascii="Times New Roman" w:hAnsi="Times New Roman"/>
          <w:i/>
          <w:sz w:val="20"/>
        </w:rPr>
        <w:t>Bucheffektengesetz</w:t>
      </w:r>
      <w:r>
        <w:rPr>
          <w:rFonts w:ascii="Times New Roman" w:hAnsi="Times New Roman"/>
          <w:sz w:val="20"/>
        </w:rPr>
        <w:t xml:space="preserve">) and such depositary shall be subject to all the obligations and requirements that apply to SIX SIS in respect of the Notes. </w:t>
      </w:r>
    </w:p>
    <w:p>
      <w:pPr>
        <w:pStyle w:val="TextBody"/>
        <w:bidi w:val="0"/>
        <w:spacing w:before="240" w:after="0"/>
        <w:jc w:val="left"/>
        <w:rPr>
          <w:rFonts w:ascii="Times New Roman" w:hAnsi="Times New Roman"/>
          <w:sz w:val="20"/>
        </w:rPr>
      </w:pPr>
      <w:r>
        <w:rPr>
          <w:rFonts w:ascii="Times New Roman" w:hAnsi="Times New Roman"/>
          <w:sz w:val="20"/>
        </w:rPr>
        <w:t xml:space="preserve">Individually certificated securities shall be issued only when no such depositary can be procured, and if they are to be issued, such securities will not be issued in bearer form, but exclusively in registered form such that the Notes qualify as being in “registered form” for United States federal income tax purposes whereby, inter alia, (i) the Noteholders of the individually certificated securities shall be registered in a register (the </w:t>
      </w:r>
      <w:r>
        <w:rPr>
          <w:rFonts w:ascii="Times New Roman" w:hAnsi="Times New Roman"/>
          <w:b/>
          <w:sz w:val="20"/>
        </w:rPr>
        <w:t>Register</w:t>
      </w:r>
      <w:r>
        <w:rPr>
          <w:rFonts w:ascii="Times New Roman" w:hAnsi="Times New Roman"/>
          <w:sz w:val="20"/>
        </w:rPr>
        <w:t xml:space="preserve">) to be established and maintained by a registrar (the </w:t>
      </w:r>
      <w:r>
        <w:rPr>
          <w:rFonts w:ascii="Times New Roman" w:hAnsi="Times New Roman"/>
          <w:b/>
          <w:sz w:val="20"/>
        </w:rPr>
        <w:t>Registrar</w:t>
      </w:r>
      <w:r>
        <w:rPr>
          <w:rFonts w:ascii="Times New Roman" w:hAnsi="Times New Roman"/>
          <w:sz w:val="20"/>
        </w:rPr>
        <w:t xml:space="preserve">) appointed by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Issuer and acting on its behalf after consultation with the Principal Paying Agent and duly notified to the Noteholders in accordance with the Conditions of the Notes, (ii) no transfer of the individually certificated securities shall be valid unless and until entered into the Register and (iii) any other requirement is satisfied to ensure that the Notes are treated as issued exclusively in registered form under Section 5f.103-1(c) of the United States Treasury Regulations and Section 1.163-5(b) of the Proposed United States Treasury Regulations (or any successor provisions). In the case Notes documented by individually certificated securities are delivered, the Permanent Global Certificate will immediately be cancelled by the Principal Paying Agent and the individually certificated securities shall be delivered instead to the Holders, who for this purpose must be registered in the Register, against cancellation of the intermediated securities in their respective securities accounts. Notes documented by individually certificated securities shall not be included in the records of SIX SIS or any other clearing system or any other intermediary and, therefore shall not constitute intermediated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of a new Holder by the Registrar will only occur upon presentation of the relevant individually certificated securities at the specified office of the Registrar or the Principal Paying Agent. No transfer of such individually certificated securities will be valid unless and until entered into the Register. Individually certificated securities may be registered only in the name of and transferred to a specified person. Only the duly registered Holder will be entitled to payments on the individually certificated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Permanent Global Certificate, including any claim or controversy arising out of or related to this Permanent Global Certificate, shall be governed by the laws of the State of New York. Each of the Issuer and the Principal Paying Agent hereby irrevocably waives, to the fullest extent permitted by applicable law, any and all right to trial by jury in any legal proceeding arising out of or relating to the Conditions of the Notes or the Notes. </w:t>
      </w:r>
    </w:p>
    <w:p>
      <w:pPr>
        <w:pStyle w:val="TextBody"/>
        <w:bidi w:val="0"/>
        <w:spacing w:before="240" w:after="0"/>
        <w:jc w:val="left"/>
        <w:rPr>
          <w:rFonts w:ascii="Times New Roman" w:hAnsi="Times New Roman"/>
          <w:sz w:val="20"/>
        </w:rPr>
      </w:pPr>
      <w:r>
        <w:rPr>
          <w:rFonts w:ascii="Times New Roman" w:hAnsi="Times New Roman"/>
          <w:sz w:val="20"/>
        </w:rPr>
        <w:t xml:space="preserve">The place of jurisdiction for any dispute, claim or controversy arising under, out of or in connection with or related to this Permanent Global Certificate shall be the courts of the State of New York or the courts of the United States of America located in the Borough of Manhattan, The City of New York.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and expressions not otherwise defined herein shall have the same meaning ascribed to them in the Conditions of the Notes. </w:t>
      </w:r>
    </w:p>
    <w:p>
      <w:pPr>
        <w:pStyle w:val="TextBody"/>
        <w:bidi w:val="0"/>
        <w:spacing w:before="240" w:after="0"/>
        <w:jc w:val="left"/>
        <w:rPr>
          <w:rFonts w:ascii="Times New Roman" w:hAnsi="Times New Roman"/>
          <w:sz w:val="20"/>
        </w:rPr>
      </w:pPr>
      <w:r>
        <w:rPr>
          <w:rFonts w:ascii="Times New Roman" w:hAnsi="Times New Roman"/>
          <w:sz w:val="20"/>
        </w:rPr>
        <w:t xml:space="preserve">THIS NOTE AND ANY INTEREST HEREIN HAVE NOT BEEN AND WILL NOT BE REGISTERED UNDER THE UNITED STATES SECURITIES ACT OF 1933, AS AMENDED (THE </w:t>
      </w:r>
      <w:r>
        <w:rPr>
          <w:rFonts w:ascii="Times New Roman" w:hAnsi="Times New Roman"/>
          <w:b/>
          <w:sz w:val="20"/>
        </w:rPr>
        <w:t>U.S. SECURITIES ACT</w:t>
      </w:r>
      <w:r>
        <w:rPr>
          <w:rFonts w:ascii="Times New Roman" w:hAnsi="Times New Roman"/>
          <w:sz w:val="20"/>
        </w:rPr>
        <w:t xml:space="preserve">), AND, ON OR PRIOR TO THE DATE (THE </w:t>
      </w:r>
      <w:r>
        <w:rPr>
          <w:rFonts w:ascii="Times New Roman" w:hAnsi="Times New Roman"/>
          <w:b/>
          <w:sz w:val="20"/>
        </w:rPr>
        <w:t>RESALE RESTRICTION TERMINATION DATE</w:t>
      </w:r>
      <w:r>
        <w:rPr>
          <w:rFonts w:ascii="Times New Roman" w:hAnsi="Times New Roman"/>
          <w:sz w:val="20"/>
        </w:rPr>
        <w:t>) WHICH IS 40 DAYS AFTER THE LATER OF THE COMMENCEMENT OF THE OFFER OF THIS NOTE AND THE ISSUE DATE OF THE OFFER OF THIS NOTE (OR SUCH SHORTER PERIOD OF TIME PERMITTED BY REGULATION S UNDER THE SECURITIES ACT OR ANY SUCCESSOR PROVISION THEREUNDER), MAY NOT BE OFFERED, SOLD, ASSIGNED, PLEDGED, ENCUMBERED OR OTHERWISE DISPOSED OF EXCEPT (I) TO NON-U.S. PERSONS IN AN OFFSHORE TRANSACTION IN ACCORDANCE WITH REGULATION S UNDER THE U.S. SECURITIES ACT (</w:t>
      </w:r>
      <w:r>
        <w:rPr>
          <w:rFonts w:ascii="Times New Roman" w:hAnsi="Times New Roman"/>
          <w:b/>
          <w:sz w:val="20"/>
        </w:rPr>
        <w:t>REGULATION S</w:t>
      </w:r>
      <w:r>
        <w:rPr>
          <w:rFonts w:ascii="Times New Roman" w:hAnsi="Times New Roman"/>
          <w:sz w:val="20"/>
        </w:rPr>
        <w:t xml:space="preserve">), TO THE GUARANTORS OR ANY SUBSIDIARY THEREOF; OR PURSUANT TO ANY OTHER AVAILABLE EXEMPTION FROM THE REGISTRATION REQUIREMENTS OF THE U.S. SECURITIES ACT AND (II) IN COMPLIANCE WITH ALL APPLICABLE LAWS OF ANY OTHER JURISDICTION. AFTER THE RESALE RESTRICTION TERMINATION DATE, THIS NOTE AND ANY INTEREST HEREIN MAY BE TRANSFERRED ONLY IN ACCORDANCE WITH THE U.S. SECURITIES ACT AND ALL APPLICABLE LAWS OF ANY OTHER JURISDICTION.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Amsterdam, the Netherlands, as of October 6, 2026 </w:t>
      </w:r>
    </w:p>
    <w:p>
      <w:pPr>
        <w:pStyle w:val="TextBody"/>
        <w:bidi w:val="0"/>
        <w:spacing w:before="240" w:after="0"/>
        <w:jc w:val="center"/>
        <w:rPr>
          <w:rFonts w:ascii="Times New Roman" w:hAnsi="Times New Roman"/>
          <w:b/>
          <w:sz w:val="20"/>
        </w:rPr>
      </w:pPr>
      <w:r>
        <w:rPr>
          <w:rFonts w:ascii="Times New Roman" w:hAnsi="Times New Roman"/>
          <w:b/>
          <w:sz w:val="20"/>
        </w:rPr>
        <w:t xml:space="preserve">Digital Constellation B.V.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34"/>
        <w:gridCol w:w="111"/>
        <w:gridCol w:w="1034"/>
        <w:gridCol w:w="126"/>
        <w:gridCol w:w="2732"/>
        <w:gridCol w:w="126"/>
        <w:gridCol w:w="2942"/>
      </w:tblGrid>
      <w:tr>
        <w:trPr/>
        <w:tc>
          <w:tcPr>
            <w:tcW w:w="3134"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942" w:type="dxa"/>
            <w:tcBorders/>
            <w:vAlign w:val="center"/>
          </w:tcPr>
          <w:p>
            <w:pPr>
              <w:pStyle w:val="TableContents"/>
              <w:bidi w:val="0"/>
              <w:spacing w:before="0" w:after="283"/>
              <w:jc w:val="left"/>
              <w:rPr>
                <w:sz w:val="4"/>
                <w:szCs w:val="4"/>
              </w:rPr>
            </w:pPr>
            <w:r>
              <w:rPr>
                <w:sz w:val="4"/>
                <w:szCs w:val="4"/>
              </w:rPr>
            </w:r>
          </w:p>
        </w:tc>
      </w:tr>
      <w:tr>
        <w:trPr/>
        <w:tc>
          <w:tcPr>
            <w:tcW w:w="3134"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1034" w:type="dxa"/>
            <w:tcBorders/>
          </w:tcPr>
          <w:p>
            <w:pPr>
              <w:pStyle w:val="TableContents"/>
              <w:bidi w:val="0"/>
              <w:spacing w:before="0" w:after="283"/>
              <w:jc w:val="right"/>
              <w:rPr/>
            </w:pPr>
            <w:r>
              <w:rPr/>
              <w:t>By:</w:t>
            </w:r>
          </w:p>
        </w:tc>
        <w:tc>
          <w:tcPr>
            <w:tcW w:w="126" w:type="dxa"/>
            <w:tcBorders/>
            <w:vAlign w:val="bottom"/>
          </w:tcPr>
          <w:p>
            <w:pPr>
              <w:pStyle w:val="TableContents"/>
              <w:bidi w:val="0"/>
              <w:spacing w:before="0" w:after="283"/>
              <w:jc w:val="left"/>
              <w:rPr/>
            </w:pPr>
            <w:r>
              <w:rPr/>
              <w:t>  </w:t>
            </w:r>
          </w:p>
        </w:tc>
        <w:tc>
          <w:tcPr>
            <w:tcW w:w="2732" w:type="dxa"/>
            <w:tcBorders/>
          </w:tcPr>
          <w:p>
            <w:pPr>
              <w:pStyle w:val="TableContents"/>
              <w:pBdr>
                <w:bottom w:val="single" w:sz="2" w:space="1" w:color="000000"/>
              </w:pBdr>
              <w:bidi w:val="0"/>
              <w:spacing w:before="0" w:after="20"/>
              <w:jc w:val="left"/>
              <w:rPr/>
            </w:pPr>
            <w:r>
              <w:rPr/>
              <w:t> </w:t>
            </w:r>
          </w:p>
        </w:tc>
        <w:tc>
          <w:tcPr>
            <w:tcW w:w="126" w:type="dxa"/>
            <w:tcBorders/>
            <w:vAlign w:val="bottom"/>
          </w:tcPr>
          <w:p>
            <w:pPr>
              <w:pStyle w:val="TableContents"/>
              <w:bidi w:val="0"/>
              <w:spacing w:before="0" w:after="283"/>
              <w:jc w:val="left"/>
              <w:rPr/>
            </w:pPr>
            <w:r>
              <w:rPr/>
              <w:t>  </w:t>
            </w:r>
          </w:p>
        </w:tc>
        <w:tc>
          <w:tcPr>
            <w:tcW w:w="2942" w:type="dxa"/>
            <w:tcBorders/>
          </w:tcPr>
          <w:p>
            <w:pPr>
              <w:pStyle w:val="TableContents"/>
              <w:bidi w:val="0"/>
              <w:spacing w:before="0" w:after="283"/>
              <w:jc w:val="left"/>
              <w:rPr>
                <w:sz w:val="4"/>
                <w:szCs w:val="4"/>
              </w:rPr>
            </w:pPr>
            <w:r>
              <w:rPr>
                <w:sz w:val="4"/>
                <w:szCs w:val="4"/>
              </w:rPr>
            </w:r>
          </w:p>
        </w:tc>
      </w:tr>
      <w:tr>
        <w:trPr/>
        <w:tc>
          <w:tcPr>
            <w:tcW w:w="3134"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1034" w:type="dxa"/>
            <w:tcBorders/>
          </w:tcPr>
          <w:p>
            <w:pPr>
              <w:pStyle w:val="TableContents"/>
              <w:bidi w:val="0"/>
              <w:spacing w:before="0" w:after="283"/>
              <w:jc w:val="right"/>
              <w:rPr/>
            </w:pPr>
            <w:r>
              <w:rPr/>
              <w:t>Name/Title:</w:t>
            </w:r>
          </w:p>
        </w:tc>
        <w:tc>
          <w:tcPr>
            <w:tcW w:w="126" w:type="dxa"/>
            <w:tcBorders/>
            <w:vAlign w:val="bottom"/>
          </w:tcPr>
          <w:p>
            <w:pPr>
              <w:pStyle w:val="TableContents"/>
              <w:bidi w:val="0"/>
              <w:spacing w:before="0" w:after="283"/>
              <w:jc w:val="left"/>
              <w:rPr/>
            </w:pPr>
            <w:r>
              <w:rPr/>
              <w:t>  </w:t>
            </w:r>
          </w:p>
        </w:tc>
        <w:tc>
          <w:tcPr>
            <w:tcW w:w="2732" w:type="dxa"/>
            <w:tcBorders/>
          </w:tcPr>
          <w:p>
            <w:pPr>
              <w:pStyle w:val="TableContents"/>
              <w:pBdr>
                <w:bottom w:val="single" w:sz="2" w:space="1" w:color="000000"/>
              </w:pBdr>
              <w:bidi w:val="0"/>
              <w:spacing w:before="0" w:after="20"/>
              <w:jc w:val="left"/>
              <w:rPr/>
            </w:pPr>
            <w:r>
              <w:rPr/>
              <w:t> </w:t>
            </w:r>
          </w:p>
        </w:tc>
        <w:tc>
          <w:tcPr>
            <w:tcW w:w="126" w:type="dxa"/>
            <w:tcBorders/>
            <w:vAlign w:val="bottom"/>
          </w:tcPr>
          <w:p>
            <w:pPr>
              <w:pStyle w:val="TableContents"/>
              <w:bidi w:val="0"/>
              <w:spacing w:before="0" w:after="283"/>
              <w:jc w:val="left"/>
              <w:rPr/>
            </w:pPr>
            <w:r>
              <w:rPr/>
              <w:t>  </w:t>
            </w:r>
          </w:p>
        </w:tc>
        <w:tc>
          <w:tcPr>
            <w:tcW w:w="2942" w:type="dxa"/>
            <w:tcBorders/>
          </w:tcPr>
          <w:p>
            <w:pPr>
              <w:pStyle w:val="TableContents"/>
              <w:bidi w:val="0"/>
              <w:spacing w:before="0" w:after="283"/>
              <w:jc w:val="left"/>
              <w:rPr>
                <w:sz w:val="4"/>
                <w:szCs w:val="4"/>
              </w:rPr>
            </w:pPr>
            <w:r>
              <w:rPr>
                <w:sz w:val="4"/>
                <w:szCs w:val="4"/>
              </w:rPr>
            </w:r>
          </w:p>
        </w:tc>
      </w:tr>
      <w:tr>
        <w:trPr/>
        <w:tc>
          <w:tcPr>
            <w:tcW w:w="3134"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103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732" w:type="dxa"/>
            <w:tcBorders/>
          </w:tcPr>
          <w:p>
            <w:pPr>
              <w:pStyle w:val="TableContents"/>
              <w:bidi w:val="0"/>
              <w:spacing w:before="0" w:after="283"/>
              <w:jc w:val="left"/>
              <w:rPr/>
            </w:pPr>
            <w:r>
              <w:rPr/>
              <w:t>Director</w:t>
            </w:r>
          </w:p>
        </w:tc>
        <w:tc>
          <w:tcPr>
            <w:tcW w:w="126" w:type="dxa"/>
            <w:tcBorders/>
            <w:vAlign w:val="bottom"/>
          </w:tcPr>
          <w:p>
            <w:pPr>
              <w:pStyle w:val="TableContents"/>
              <w:bidi w:val="0"/>
              <w:spacing w:before="0" w:after="283"/>
              <w:jc w:val="left"/>
              <w:rPr/>
            </w:pPr>
            <w:r>
              <w:rPr/>
              <w:t>  </w:t>
            </w:r>
          </w:p>
        </w:tc>
        <w:tc>
          <w:tcPr>
            <w:tcW w:w="2942"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This Permanent Global Certificate (</w:t>
      </w:r>
      <w:r>
        <w:rPr>
          <w:rFonts w:ascii="Times New Roman" w:hAnsi="Times New Roman"/>
          <w:i/>
          <w:sz w:val="20"/>
        </w:rPr>
        <w:t>Globalurkunde auf Dauer</w:t>
      </w:r>
      <w:r>
        <w:rPr>
          <w:rFonts w:ascii="Times New Roman" w:hAnsi="Times New Roman"/>
          <w:sz w:val="20"/>
        </w:rPr>
        <w:t xml:space="preserve">) becomes valid only if </w:t>
      </w:r>
    </w:p>
    <w:p>
      <w:pPr>
        <w:pStyle w:val="TextBody"/>
        <w:bidi w:val="0"/>
        <w:spacing w:before="0" w:after="0"/>
        <w:jc w:val="center"/>
        <w:rPr>
          <w:rFonts w:ascii="Times New Roman" w:hAnsi="Times New Roman"/>
          <w:sz w:val="20"/>
        </w:rPr>
      </w:pPr>
      <w:r>
        <w:rPr>
          <w:rFonts w:ascii="Times New Roman" w:hAnsi="Times New Roman"/>
          <w:sz w:val="20"/>
        </w:rPr>
        <w:t xml:space="preserve">countersigned by two (2) officials of UBS AG: </w:t>
      </w:r>
    </w:p>
    <w:p>
      <w:pPr>
        <w:pStyle w:val="TextBody"/>
        <w:bidi w:val="0"/>
        <w:spacing w:before="240" w:after="0"/>
        <w:jc w:val="center"/>
        <w:rPr>
          <w:rFonts w:ascii="Times New Roman" w:hAnsi="Times New Roman"/>
          <w:b/>
          <w:sz w:val="20"/>
        </w:rPr>
      </w:pPr>
      <w:r>
        <w:rPr>
          <w:rFonts w:ascii="Times New Roman" w:hAnsi="Times New Roman"/>
          <w:b/>
          <w:sz w:val="20"/>
        </w:rPr>
        <w:t xml:space="preserve">UBS AG </w:t>
      </w:r>
    </w:p>
    <w:p>
      <w:pPr>
        <w:pStyle w:val="TextBody"/>
        <w:bidi w:val="0"/>
        <w:spacing w:before="240" w:after="0"/>
        <w:jc w:val="center"/>
        <w:rPr>
          <w:rFonts w:ascii="Times New Roman" w:hAnsi="Times New Roman"/>
          <w:sz w:val="20"/>
        </w:rPr>
      </w:pPr>
      <w:r>
        <w:rPr>
          <w:rFonts w:ascii="Times New Roman" w:hAnsi="Times New Roman"/>
          <w:sz w:val="20"/>
        </w:rPr>
        <w:t xml:space="preserve">without recourse, warranty or liability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93"/>
        <w:gridCol w:w="111"/>
        <w:gridCol w:w="361"/>
        <w:gridCol w:w="111"/>
        <w:gridCol w:w="2797"/>
        <w:gridCol w:w="123"/>
        <w:gridCol w:w="361"/>
        <w:gridCol w:w="123"/>
        <w:gridCol w:w="2597"/>
        <w:gridCol w:w="123"/>
        <w:gridCol w:w="1605"/>
      </w:tblGrid>
      <w:tr>
        <w:trPr/>
        <w:tc>
          <w:tcPr>
            <w:tcW w:w="1893"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279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59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r>
      <w:tr>
        <w:trPr/>
        <w:tc>
          <w:tcPr>
            <w:tcW w:w="1893"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61" w:type="dxa"/>
            <w:tcBorders/>
          </w:tcPr>
          <w:p>
            <w:pPr>
              <w:pStyle w:val="TableContents"/>
              <w:bidi w:val="0"/>
              <w:spacing w:before="0" w:after="283"/>
              <w:jc w:val="left"/>
              <w:rPr/>
            </w:pPr>
            <w:r>
              <w:rPr/>
              <w:t>By:</w:t>
            </w:r>
          </w:p>
        </w:tc>
        <w:tc>
          <w:tcPr>
            <w:tcW w:w="111" w:type="dxa"/>
            <w:tcBorders/>
            <w:vAlign w:val="bottom"/>
          </w:tcPr>
          <w:p>
            <w:pPr>
              <w:pStyle w:val="TableContents"/>
              <w:bidi w:val="0"/>
              <w:spacing w:before="0" w:after="283"/>
              <w:jc w:val="left"/>
              <w:rPr/>
            </w:pPr>
            <w:r>
              <w:rPr/>
              <w:t> </w:t>
            </w:r>
          </w:p>
        </w:tc>
        <w:tc>
          <w:tcPr>
            <w:tcW w:w="2797" w:type="dxa"/>
            <w:tcBorders/>
          </w:tcPr>
          <w:p>
            <w:pPr>
              <w:pStyle w:val="TableContents"/>
              <w:pBdr>
                <w:bottom w:val="single" w:sz="2" w:space="1" w:color="000000"/>
              </w:pBdr>
              <w:bidi w:val="0"/>
              <w:spacing w:before="0" w:after="20"/>
              <w:jc w:val="left"/>
              <w:rPr/>
            </w:pPr>
            <w:r>
              <w:rPr/>
              <w:t> </w:t>
            </w:r>
          </w:p>
        </w:tc>
        <w:tc>
          <w:tcPr>
            <w:tcW w:w="123" w:type="dxa"/>
            <w:tcBorders/>
            <w:vAlign w:val="bottom"/>
          </w:tcPr>
          <w:p>
            <w:pPr>
              <w:pStyle w:val="TableContents"/>
              <w:bidi w:val="0"/>
              <w:spacing w:before="0" w:after="283"/>
              <w:jc w:val="left"/>
              <w:rPr/>
            </w:pPr>
            <w:r>
              <w:rPr/>
              <w:t>  </w:t>
            </w:r>
          </w:p>
        </w:tc>
        <w:tc>
          <w:tcPr>
            <w:tcW w:w="361" w:type="dxa"/>
            <w:tcBorders/>
          </w:tcPr>
          <w:p>
            <w:pPr>
              <w:pStyle w:val="TableContents"/>
              <w:bidi w:val="0"/>
              <w:spacing w:before="0" w:after="283"/>
              <w:jc w:val="left"/>
              <w:rPr/>
            </w:pPr>
            <w:r>
              <w:rPr/>
              <w:t>By:</w:t>
            </w:r>
          </w:p>
        </w:tc>
        <w:tc>
          <w:tcPr>
            <w:tcW w:w="123" w:type="dxa"/>
            <w:tcBorders/>
            <w:vAlign w:val="bottom"/>
          </w:tcPr>
          <w:p>
            <w:pPr>
              <w:pStyle w:val="TableContents"/>
              <w:bidi w:val="0"/>
              <w:spacing w:before="0" w:after="283"/>
              <w:jc w:val="left"/>
              <w:rPr/>
            </w:pPr>
            <w:r>
              <w:rPr/>
              <w:t>  </w:t>
            </w:r>
          </w:p>
        </w:tc>
        <w:tc>
          <w:tcPr>
            <w:tcW w:w="2597" w:type="dxa"/>
            <w:tcBorders/>
          </w:tcPr>
          <w:p>
            <w:pPr>
              <w:pStyle w:val="TableContents"/>
              <w:pBdr>
                <w:bottom w:val="single" w:sz="2" w:space="1" w:color="000000"/>
              </w:pBdr>
              <w:bidi w:val="0"/>
              <w:spacing w:before="0" w:after="20"/>
              <w:jc w:val="left"/>
              <w:rPr/>
            </w:pPr>
            <w:r>
              <w:rPr/>
              <w:t> </w:t>
            </w:r>
          </w:p>
        </w:tc>
        <w:tc>
          <w:tcPr>
            <w:tcW w:w="123" w:type="dxa"/>
            <w:tcBorders/>
            <w:vAlign w:val="bottom"/>
          </w:tcPr>
          <w:p>
            <w:pPr>
              <w:pStyle w:val="TableContents"/>
              <w:bidi w:val="0"/>
              <w:spacing w:before="0" w:after="283"/>
              <w:jc w:val="left"/>
              <w:rPr/>
            </w:pPr>
            <w:r>
              <w:rPr/>
              <w:t>  </w:t>
            </w:r>
          </w:p>
        </w:tc>
        <w:tc>
          <w:tcPr>
            <w:tcW w:w="1605"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Permanent Global Certificate (2032 Notes) </w:t>
      </w:r>
    </w:p>
    <w:p>
      <w:pPr>
        <w:pStyle w:val="TextBody"/>
        <w:bidi w:val="0"/>
        <w:spacing w:before="0" w:after="0"/>
        <w:jc w:val="right"/>
        <w:rPr>
          <w:rFonts w:ascii="Times New Roman" w:hAnsi="Times New Roman"/>
          <w:b/>
          <w:sz w:val="20"/>
        </w:rPr>
      </w:pPr>
      <w:bookmarkStart w:id="8" w:name="d191285dex44.htm"/>
      <w:bookmarkStart w:id="9" w:name="ksd191285dex44"/>
      <w:bookmarkEnd w:id="8"/>
      <w:bookmarkEnd w:id="9"/>
      <w:r>
        <w:rPr>
          <w:rFonts w:ascii="Times New Roman" w:hAnsi="Times New Roman"/>
          <w:b/>
          <w:sz w:val="20"/>
        </w:rPr>
        <w:t xml:space="preserve">Exhibit 4.4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Permanent Global Certificate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Globalurkunde auf Dauer</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20"/>
        </w:rPr>
      </w:pPr>
      <w:r>
        <w:rPr>
          <w:rFonts w:ascii="Times New Roman" w:hAnsi="Times New Roman"/>
          <w:b/>
          <w:sz w:val="20"/>
        </w:rPr>
        <w:t xml:space="preserve">CHF 100,000,000 </w:t>
      </w:r>
    </w:p>
    <w:p>
      <w:pPr>
        <w:pStyle w:val="TextBody"/>
        <w:bidi w:val="0"/>
        <w:spacing w:before="240" w:after="0"/>
        <w:jc w:val="center"/>
        <w:rPr>
          <w:rFonts w:ascii="Times New Roman" w:hAnsi="Times New Roman"/>
          <w:sz w:val="20"/>
        </w:rPr>
      </w:pPr>
      <w:r>
        <w:rPr>
          <w:rFonts w:ascii="Times New Roman" w:hAnsi="Times New Roman"/>
          <w:sz w:val="20"/>
        </w:rPr>
        <w:t xml:space="preserve">(100,000,000 Swiss francs) </w:t>
      </w:r>
    </w:p>
    <w:p>
      <w:pPr>
        <w:pStyle w:val="TextBody"/>
        <w:bidi w:val="0"/>
        <w:spacing w:before="240" w:after="0"/>
        <w:jc w:val="center"/>
        <w:rPr>
          <w:rFonts w:ascii="Times New Roman" w:hAnsi="Times New Roman"/>
          <w:b/>
          <w:sz w:val="20"/>
        </w:rPr>
      </w:pPr>
      <w:r>
        <w:rPr>
          <w:rFonts w:ascii="Times New Roman" w:hAnsi="Times New Roman"/>
          <w:b/>
          <w:sz w:val="20"/>
        </w:rPr>
        <w:t xml:space="preserve">Digital Constellation B.V. </w:t>
      </w:r>
    </w:p>
    <w:p>
      <w:pPr>
        <w:pStyle w:val="TextBody"/>
        <w:bidi w:val="0"/>
        <w:spacing w:before="240" w:after="0"/>
        <w:jc w:val="center"/>
        <w:rPr>
          <w:rFonts w:ascii="Times New Roman" w:hAnsi="Times New Roman"/>
          <w:sz w:val="20"/>
        </w:rPr>
      </w:pPr>
      <w:r>
        <w:rPr>
          <w:rFonts w:ascii="Times New Roman" w:hAnsi="Times New Roman"/>
          <w:sz w:val="20"/>
        </w:rPr>
        <w:t xml:space="preserve">H.J.E. Wenckebachweg 127 </w:t>
      </w:r>
    </w:p>
    <w:p>
      <w:pPr>
        <w:pStyle w:val="TextBody"/>
        <w:bidi w:val="0"/>
        <w:spacing w:before="240" w:after="0"/>
        <w:jc w:val="center"/>
        <w:rPr>
          <w:rFonts w:ascii="Times New Roman" w:hAnsi="Times New Roman"/>
          <w:sz w:val="20"/>
        </w:rPr>
      </w:pPr>
      <w:r>
        <w:rPr>
          <w:rFonts w:ascii="Times New Roman" w:hAnsi="Times New Roman"/>
          <w:sz w:val="20"/>
        </w:rPr>
        <w:t xml:space="preserve">1096 AM Amsterdam </w:t>
      </w:r>
    </w:p>
    <w:p>
      <w:pPr>
        <w:pStyle w:val="TextBody"/>
        <w:bidi w:val="0"/>
        <w:spacing w:before="240" w:after="0"/>
        <w:jc w:val="center"/>
        <w:rPr>
          <w:rFonts w:ascii="Times New Roman" w:hAnsi="Times New Roman"/>
          <w:sz w:val="20"/>
        </w:rPr>
      </w:pPr>
      <w:r>
        <w:rPr>
          <w:rFonts w:ascii="Times New Roman" w:hAnsi="Times New Roman"/>
          <w:sz w:val="20"/>
        </w:rPr>
        <w:t xml:space="preserve">The Netherlands </w:t>
      </w:r>
    </w:p>
    <w:p>
      <w:pPr>
        <w:pStyle w:val="TextBody"/>
        <w:bidi w:val="0"/>
        <w:spacing w:before="240" w:after="0"/>
        <w:jc w:val="center"/>
        <w:rPr>
          <w:rFonts w:ascii="Times New Roman" w:hAnsi="Times New Roman"/>
          <w:sz w:val="20"/>
        </w:rPr>
      </w:pPr>
      <w:r>
        <w:rPr>
          <w:rFonts w:ascii="Times New Roman" w:hAnsi="Times New Roman"/>
          <w:sz w:val="20"/>
        </w:rPr>
        <w:t xml:space="preserve">(organized under the laws of the Netherlands with its offices at H.J.E. Wenckebachweg 127, 1096 AM Amsterdam, the Netherlands) </w:t>
      </w:r>
    </w:p>
    <w:p>
      <w:pPr>
        <w:pStyle w:val="TextBody"/>
        <w:bidi w:val="0"/>
        <w:spacing w:before="240" w:after="0"/>
        <w:jc w:val="center"/>
        <w:rPr>
          <w:rFonts w:ascii="Times New Roman" w:hAnsi="Times New Roman"/>
          <w:b/>
          <w:sz w:val="20"/>
        </w:rPr>
      </w:pPr>
      <w:r>
        <w:rPr>
          <w:rFonts w:ascii="Times New Roman" w:hAnsi="Times New Roman"/>
          <w:b/>
          <w:sz w:val="20"/>
        </w:rPr>
        <w:t xml:space="preserve">2.4150 percent Green Senior Bonds due 2036 </w:t>
      </w:r>
    </w:p>
    <w:p>
      <w:pPr>
        <w:pStyle w:val="TextBody"/>
        <w:bidi w:val="0"/>
        <w:spacing w:before="240" w:after="0"/>
        <w:jc w:val="center"/>
        <w:rPr>
          <w:rFonts w:ascii="Times New Roman" w:hAnsi="Times New Roman"/>
          <w:sz w:val="20"/>
        </w:rPr>
      </w:pPr>
      <w:r>
        <w:rPr>
          <w:rFonts w:ascii="Times New Roman" w:hAnsi="Times New Roman"/>
          <w:sz w:val="20"/>
        </w:rPr>
        <w:t xml:space="preserve">(the </w:t>
      </w:r>
      <w:r>
        <w:rPr>
          <w:rFonts w:ascii="Times New Roman" w:hAnsi="Times New Roman"/>
          <w:b/>
          <w:sz w:val="20"/>
        </w:rPr>
        <w:t>Notes</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Swiss Security Number 160960526 / ISIN CH1609605261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Digital Constellation B.V., H.J.E. Wenckebachweg 127, 1096 AM Amsterdam, the Netherlands (the </w:t>
      </w:r>
      <w:r>
        <w:rPr>
          <w:rFonts w:ascii="Times New Roman" w:hAnsi="Times New Roman"/>
          <w:b/>
          <w:sz w:val="20"/>
        </w:rPr>
        <w:t>Issuer</w:t>
      </w:r>
      <w:r>
        <w:rPr>
          <w:rFonts w:ascii="Times New Roman" w:hAnsi="Times New Roman"/>
          <w:sz w:val="20"/>
        </w:rPr>
        <w:t>) owes to the bearer of this Permanent Global Certificate (</w:t>
      </w:r>
      <w:r>
        <w:rPr>
          <w:rFonts w:ascii="Times New Roman" w:hAnsi="Times New Roman"/>
          <w:i/>
          <w:sz w:val="20"/>
        </w:rPr>
        <w:t>Globalurkunde auf Dauer</w:t>
      </w:r>
      <w:r>
        <w:rPr>
          <w:rFonts w:ascii="Times New Roman" w:hAnsi="Times New Roman"/>
          <w:sz w:val="20"/>
        </w:rPr>
        <w:t xml:space="preserve">), upon presentation and surrender of this Permanent Global Certificate, the amount of CHF 100,000,000 (100,000,000 Swiss francs), plus interest at a rate of 2.4150 percent, in accordance with the Bond Purchase Agreement (the </w:t>
      </w:r>
      <w:r>
        <w:rPr>
          <w:rFonts w:ascii="Times New Roman" w:hAnsi="Times New Roman"/>
          <w:b/>
          <w:sz w:val="20"/>
        </w:rPr>
        <w:t>Agreement</w:t>
      </w:r>
      <w:r>
        <w:rPr>
          <w:rFonts w:ascii="Times New Roman" w:hAnsi="Times New Roman"/>
          <w:sz w:val="20"/>
        </w:rPr>
        <w:t xml:space="preserve">) and pursuant to the Terms and Conditions of the Notes (the </w:t>
      </w:r>
      <w:r>
        <w:rPr>
          <w:rFonts w:ascii="Times New Roman" w:hAnsi="Times New Roman"/>
          <w:b/>
          <w:sz w:val="20"/>
        </w:rPr>
        <w:t>Conditions of the Notes)</w:t>
      </w:r>
      <w:r>
        <w:rPr>
          <w:rFonts w:ascii="Times New Roman" w:hAnsi="Times New Roman"/>
          <w:sz w:val="20"/>
        </w:rPr>
        <w:t xml:space="preserve"> included as Schedule II thereto, concluded as of October 2, 2026 between the Issuer, Digital Realty Trust, Inc., Digital Realty Trust, L.P., Digital Intrepid Holding B.V., UBS AG and Deutsche Bank Aktiengesellschaft, acting through Deutsche Bank AG Zurich Branch. This Permanent Global Certificate has been delivered as part of an arrangement that results in the issuance of a debt obligation in “registered form” for United States federal income tax purposes. Capitalized terms used herein but not defined shall have the terms ascribed to them in the Conditions of the Notes.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Paying Agency Agreement dated as of October 2, 2026, (the </w:t>
      </w:r>
      <w:r>
        <w:rPr>
          <w:rFonts w:ascii="Times New Roman" w:hAnsi="Times New Roman"/>
          <w:b/>
          <w:sz w:val="20"/>
        </w:rPr>
        <w:t>Paying Agency Agreement</w:t>
      </w:r>
      <w:r>
        <w:rPr>
          <w:rFonts w:ascii="Times New Roman" w:hAnsi="Times New Roman"/>
          <w:sz w:val="20"/>
        </w:rPr>
        <w:t xml:space="preserve">), among the Issuer, Digital Realty Trust, Inc., Digital Realty Trust, L.P., Digital Intrepid Holding B.V., and UBS AG as principal paying agent (the </w:t>
      </w:r>
      <w:r>
        <w:rPr>
          <w:rFonts w:ascii="Times New Roman" w:hAnsi="Times New Roman"/>
          <w:b/>
          <w:sz w:val="20"/>
        </w:rPr>
        <w:t>Principal Paying Agent</w:t>
      </w:r>
      <w:r>
        <w:rPr>
          <w:rFonts w:ascii="Times New Roman" w:hAnsi="Times New Roman"/>
          <w:sz w:val="20"/>
        </w:rPr>
        <w:t xml:space="preserve">), the Principal Paying Agent undertakes to deposit this Permanent Global Certificate for the entire duration of the Notes and until their complete redemption with SIX SIS Ltd, Baslerstrasse 100, CH-4600 Olten, Switzerland (hereinafter referred to as </w:t>
      </w:r>
      <w:r>
        <w:rPr>
          <w:rFonts w:ascii="Times New Roman" w:hAnsi="Times New Roman"/>
          <w:b/>
          <w:sz w:val="20"/>
        </w:rPr>
        <w:t>SIX SIS</w:t>
      </w:r>
      <w:r>
        <w:rPr>
          <w:rFonts w:ascii="Times New Roman" w:hAnsi="Times New Roman"/>
          <w:sz w:val="20"/>
        </w:rPr>
        <w:t xml:space="preserve">) as recognized intermediary for such purposes by SIX Swiss Exchange Ltd except as provided in paragraph (c) of Condition 1 of the Conditions of the Notes. </w:t>
      </w:r>
    </w:p>
    <w:p>
      <w:pPr>
        <w:pStyle w:val="TextBody"/>
        <w:bidi w:val="0"/>
        <w:spacing w:before="240" w:after="0"/>
        <w:jc w:val="left"/>
        <w:rPr>
          <w:rFonts w:ascii="Times New Roman" w:hAnsi="Times New Roman"/>
          <w:sz w:val="20"/>
        </w:rPr>
      </w:pPr>
      <w:r>
        <w:rPr>
          <w:rFonts w:ascii="Times New Roman" w:hAnsi="Times New Roman"/>
          <w:sz w:val="20"/>
        </w:rPr>
        <w:t>Except as provided in paragraph (c) of Condition 1 of Conditions of the Notes, once the Permanent Global Certificate is deposited with SIX SIS, the Notes shall constitute intermediated securities (</w:t>
      </w:r>
      <w:r>
        <w:rPr>
          <w:rFonts w:ascii="Times New Roman" w:hAnsi="Times New Roman"/>
          <w:i/>
          <w:sz w:val="20"/>
        </w:rPr>
        <w:t>Bucheffekten</w:t>
      </w:r>
      <w:r>
        <w:rPr>
          <w:rFonts w:ascii="Times New Roman" w:hAnsi="Times New Roman"/>
          <w:sz w:val="20"/>
        </w:rPr>
        <w:t>) in accordance with the provisions of the Swiss Federal Intermediated Securities Act (</w:t>
      </w:r>
      <w:r>
        <w:rPr>
          <w:rFonts w:ascii="Times New Roman" w:hAnsi="Times New Roman"/>
          <w:i/>
          <w:sz w:val="20"/>
        </w:rPr>
        <w:t>Bucheffektengesetz</w:t>
      </w:r>
      <w:r>
        <w:rPr>
          <w:rFonts w:ascii="Times New Roman" w:hAnsi="Times New Roman"/>
          <w:sz w:val="20"/>
        </w:rPr>
        <w:t xml:space="preserve">) for the entire duration of the Notes. On behalf of the Issuer, SIX SIS shall maintain records of the number of Notes held through each participant in SIX SIS for the entire duration of the Notes and until their complete redemption, except as provided in paragraph (c) of Condition 1, and the Notes may only be transferred by the entry of the transferred Notes in a securities account of the transferee. </w:t>
      </w:r>
    </w:p>
    <w:p>
      <w:pPr>
        <w:pStyle w:val="TextBody"/>
        <w:bidi w:val="0"/>
        <w:spacing w:before="240" w:after="0"/>
        <w:jc w:val="left"/>
        <w:rPr>
          <w:rFonts w:ascii="Times New Roman" w:hAnsi="Times New Roman"/>
          <w:sz w:val="20"/>
        </w:rPr>
      </w:pPr>
      <w:r>
        <w:rPr>
          <w:rFonts w:ascii="Times New Roman" w:hAnsi="Times New Roman"/>
          <w:sz w:val="20"/>
        </w:rPr>
        <w:t>The records of SIX SIS will determine the number of Notes held through each participant in SIX SIS. In respect of Notes held in the form of intermediated securities the Holders will be the persons holding the Notes in a securities account (</w:t>
      </w:r>
      <w:r>
        <w:rPr>
          <w:rFonts w:ascii="Times New Roman" w:hAnsi="Times New Roman"/>
          <w:i/>
          <w:sz w:val="20"/>
        </w:rPr>
        <w:t>Effektenkonto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Neither the Issuer nor the Holder shall at any time have the right to effect or demand the conversion of the Permanent Global Certificate into, or the delivery of uncertificated securities (</w:t>
      </w:r>
      <w:r>
        <w:rPr>
          <w:rFonts w:ascii="Times New Roman" w:hAnsi="Times New Roman"/>
          <w:i/>
          <w:sz w:val="20"/>
        </w:rPr>
        <w:t>Wertrechte</w:t>
      </w:r>
      <w:r>
        <w:rPr>
          <w:rFonts w:ascii="Times New Roman" w:hAnsi="Times New Roman"/>
          <w:sz w:val="20"/>
        </w:rPr>
        <w:t>) or individually certificated securities (</w:t>
      </w:r>
      <w:r>
        <w:rPr>
          <w:rFonts w:ascii="Times New Roman" w:hAnsi="Times New Roman"/>
          <w:i/>
          <w:sz w:val="20"/>
        </w:rPr>
        <w:t>Wertpapiere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To the extent that SIX SIS is no longer able act as depositary, the Principal Paying Agent, in consultation with the Issuer, will deposit the Notes with another recognized depositary in accordance with the provisions of the Swiss Federal Intermediated Securities Act (</w:t>
      </w:r>
      <w:r>
        <w:rPr>
          <w:rFonts w:ascii="Times New Roman" w:hAnsi="Times New Roman"/>
          <w:i/>
          <w:sz w:val="20"/>
        </w:rPr>
        <w:t>Bucheffektengesetz</w:t>
      </w:r>
      <w:r>
        <w:rPr>
          <w:rFonts w:ascii="Times New Roman" w:hAnsi="Times New Roman"/>
          <w:sz w:val="20"/>
        </w:rPr>
        <w:t xml:space="preserve">) and such depositary shall be subject to all the obligations and requirements that apply to SIX SIS in respect of the Notes. </w:t>
      </w:r>
    </w:p>
    <w:p>
      <w:pPr>
        <w:pStyle w:val="TextBody"/>
        <w:bidi w:val="0"/>
        <w:spacing w:before="240" w:after="0"/>
        <w:jc w:val="left"/>
        <w:rPr>
          <w:rFonts w:ascii="Times New Roman" w:hAnsi="Times New Roman"/>
          <w:sz w:val="20"/>
        </w:rPr>
      </w:pPr>
      <w:r>
        <w:rPr>
          <w:rFonts w:ascii="Times New Roman" w:hAnsi="Times New Roman"/>
          <w:sz w:val="20"/>
        </w:rPr>
        <w:t xml:space="preserve">Individually certificated securities shall be issued only when no such depositary can be procured, and if they are to be issued, such securities will not be issued in bearer form, but exclusively in registered form such that the Notes qualify as being in “registered form” for United States federal income tax purposes whereby, inter alia, (i) the Noteholders of the individually certificated securities shall be registered in a register (the </w:t>
      </w:r>
      <w:r>
        <w:rPr>
          <w:rFonts w:ascii="Times New Roman" w:hAnsi="Times New Roman"/>
          <w:b/>
          <w:sz w:val="20"/>
        </w:rPr>
        <w:t>Register</w:t>
      </w:r>
      <w:r>
        <w:rPr>
          <w:rFonts w:ascii="Times New Roman" w:hAnsi="Times New Roman"/>
          <w:sz w:val="20"/>
        </w:rPr>
        <w:t xml:space="preserve">) to be established and maintained by a registrar (the </w:t>
      </w:r>
      <w:r>
        <w:rPr>
          <w:rFonts w:ascii="Times New Roman" w:hAnsi="Times New Roman"/>
          <w:b/>
          <w:sz w:val="20"/>
        </w:rPr>
        <w:t>Registrar</w:t>
      </w:r>
      <w:r>
        <w:rPr>
          <w:rFonts w:ascii="Times New Roman" w:hAnsi="Times New Roman"/>
          <w:sz w:val="20"/>
        </w:rPr>
        <w:t xml:space="preserve">) appointed by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Issuer and acting on its behalf after consultation with the Principal Paying Agent and duly notified to the Noteholders in accordance with the Conditions of the Notes, (ii) no transfer of the individually certificated securities shall be valid unless and until entered into the Register and (iii) any other requirement is satisfied to ensure that the Notes are treated as issued exclusively in registered form under Section 5f.103-1(c) of the United States Treasury Regulations and Section 1.163-5(b) of the Proposed United States Treasury Regulations (or any successor provisions). In the case Notes documented by individually certificated securities are delivered, the Permanent Global Certificate will immediately be cancelled by the Principal Paying Agent and the individually certificated securities shall be delivered instead to the Holders, who for this purpose must be registered in the Register, against cancellation of the intermediated securities in their respective securities accounts. Notes documented by individually certificated securities shall not be included in the records of SIX SIS or any other clearing system or any other intermediary and, therefore shall not constitute intermediated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of a new Holder by the Registrar will only occur upon presentation of the relevant individually certificated securities at the specified office of the Registrar or the Principal Paying Agent. No transfer of such individually certificated securities will be valid unless and until entered into the Register. Individually certificated securities may be registered only in the name of and transferred to a specified person. Only the duly registered Holder will be entitled to payments on the individually certificated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Permanent Global Certificate, including any claim or controversy arising out of or related to this Permanent Global Certificate, shall be governed by the laws of the State of New York. Each of the Issuer and the Principal Paying Agent hereby irrevocably waives, to the fullest extent permitted by applicable law, any and all right to trial by jury in any legal proceeding arising out of or relating to the Conditions of the Notes or the Notes. </w:t>
      </w:r>
    </w:p>
    <w:p>
      <w:pPr>
        <w:pStyle w:val="TextBody"/>
        <w:bidi w:val="0"/>
        <w:spacing w:before="240" w:after="0"/>
        <w:jc w:val="left"/>
        <w:rPr>
          <w:rFonts w:ascii="Times New Roman" w:hAnsi="Times New Roman"/>
          <w:sz w:val="20"/>
        </w:rPr>
      </w:pPr>
      <w:r>
        <w:rPr>
          <w:rFonts w:ascii="Times New Roman" w:hAnsi="Times New Roman"/>
          <w:sz w:val="20"/>
        </w:rPr>
        <w:t xml:space="preserve">The place of jurisdiction for any dispute, claim or controversy arising under, out of or in connection with or related to this Permanent Global Certificate shall be the courts of the State of New York or the courts of the United States of America located in the Borough of Manhattan, The City of New York.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and expressions not otherwise defined herein shall have the same meaning ascribed to them in the Conditions of the Notes. </w:t>
      </w:r>
    </w:p>
    <w:p>
      <w:pPr>
        <w:pStyle w:val="TextBody"/>
        <w:bidi w:val="0"/>
        <w:spacing w:before="240" w:after="0"/>
        <w:jc w:val="left"/>
        <w:rPr>
          <w:rFonts w:ascii="Times New Roman" w:hAnsi="Times New Roman"/>
          <w:sz w:val="20"/>
        </w:rPr>
      </w:pPr>
      <w:r>
        <w:rPr>
          <w:rFonts w:ascii="Times New Roman" w:hAnsi="Times New Roman"/>
          <w:sz w:val="20"/>
        </w:rPr>
        <w:t xml:space="preserve">THIS NOTE AND ANY INTEREST HEREIN HAVE NOT BEEN AND WILL NOT BE REGISTERED UNDER THE UNITED STATES SECURITIES ACT OF 1933, AS AMENDED (THE </w:t>
      </w:r>
      <w:r>
        <w:rPr>
          <w:rFonts w:ascii="Times New Roman" w:hAnsi="Times New Roman"/>
          <w:b/>
          <w:sz w:val="20"/>
        </w:rPr>
        <w:t>U.S. SECURITIES ACT</w:t>
      </w:r>
      <w:r>
        <w:rPr>
          <w:rFonts w:ascii="Times New Roman" w:hAnsi="Times New Roman"/>
          <w:sz w:val="20"/>
        </w:rPr>
        <w:t xml:space="preserve">), AND, ON OR PRIOR TO THE DATE (THE </w:t>
      </w:r>
      <w:r>
        <w:rPr>
          <w:rFonts w:ascii="Times New Roman" w:hAnsi="Times New Roman"/>
          <w:b/>
          <w:sz w:val="20"/>
        </w:rPr>
        <w:t>RESALE RESTRICTION TERMINATION DATE</w:t>
      </w:r>
      <w:r>
        <w:rPr>
          <w:rFonts w:ascii="Times New Roman" w:hAnsi="Times New Roman"/>
          <w:sz w:val="20"/>
        </w:rPr>
        <w:t>) WHICH IS 40 DAYS AFTER THE LATER OF THE COMMENCEMENT OF THE OFFER OF THIS NOTE AND THE ISSUE DATE OF THE OFFER OF THIS NOTE (OR SUCH SHORTER PERIOD OF TIME PERMITTED BY REGULATION S UNDER THE SECURITIES ACT OR ANY SUCCESSOR PROVISION THEREUNDER), MAY NOT BE OFFERED, SOLD, ASSIGNED, PLEDGED, ENCUMBERED OR OTHERWISE DISPOSED OF EXCEPT (I) TO NON-U.S. PERSONS IN AN OFFSHORE TRANSACTION IN ACCORDANCE WITH REGULATION S UNDER THE U.S. SECURITIES ACT (</w:t>
      </w:r>
      <w:r>
        <w:rPr>
          <w:rFonts w:ascii="Times New Roman" w:hAnsi="Times New Roman"/>
          <w:b/>
          <w:sz w:val="20"/>
        </w:rPr>
        <w:t>REGULATION S</w:t>
      </w:r>
      <w:r>
        <w:rPr>
          <w:rFonts w:ascii="Times New Roman" w:hAnsi="Times New Roman"/>
          <w:sz w:val="20"/>
        </w:rPr>
        <w:t xml:space="preserve">), TO THE GUARANTORS OR ANY SUBSIDIARY THEREOF; OR PURSUANT TO ANY OTHER AVAILABLE EXEMPTION FROM THE REGISTRATION REQUIREMENTS OF THE U.S. SECURITIES ACT AND (II) IN COMPLIANCE WITH ALL APPLICABLE LAWS OF ANY OTHER JURISDICTION. AFTER THE RESALE RESTRICTION TERMINATION DATE, THIS NOTE AND ANY INTEREST HEREIN MAY BE TRANSFERRED ONLY IN ACCORDANCE WITH THE U.S. SECURITIES ACT AND ALL APPLICABLE LAWS OF ANY OTHER JURISDICTION.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Amsterdam, the Netherlands, as of October 6, 2026 </w:t>
      </w:r>
    </w:p>
    <w:p>
      <w:pPr>
        <w:pStyle w:val="TextBody"/>
        <w:bidi w:val="0"/>
        <w:spacing w:before="240" w:after="0"/>
        <w:jc w:val="center"/>
        <w:rPr>
          <w:rFonts w:ascii="Times New Roman" w:hAnsi="Times New Roman"/>
          <w:b/>
          <w:sz w:val="20"/>
        </w:rPr>
      </w:pPr>
      <w:r>
        <w:rPr>
          <w:rFonts w:ascii="Times New Roman" w:hAnsi="Times New Roman"/>
          <w:b/>
          <w:sz w:val="20"/>
        </w:rPr>
        <w:t xml:space="preserve">Digital Constellation B.V.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34"/>
        <w:gridCol w:w="111"/>
        <w:gridCol w:w="1034"/>
        <w:gridCol w:w="126"/>
        <w:gridCol w:w="2732"/>
        <w:gridCol w:w="126"/>
        <w:gridCol w:w="2942"/>
      </w:tblGrid>
      <w:tr>
        <w:trPr/>
        <w:tc>
          <w:tcPr>
            <w:tcW w:w="3134"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942" w:type="dxa"/>
            <w:tcBorders/>
            <w:vAlign w:val="center"/>
          </w:tcPr>
          <w:p>
            <w:pPr>
              <w:pStyle w:val="TableContents"/>
              <w:bidi w:val="0"/>
              <w:spacing w:before="0" w:after="283"/>
              <w:jc w:val="left"/>
              <w:rPr>
                <w:sz w:val="4"/>
                <w:szCs w:val="4"/>
              </w:rPr>
            </w:pPr>
            <w:r>
              <w:rPr>
                <w:sz w:val="4"/>
                <w:szCs w:val="4"/>
              </w:rPr>
            </w:r>
          </w:p>
        </w:tc>
      </w:tr>
      <w:tr>
        <w:trPr/>
        <w:tc>
          <w:tcPr>
            <w:tcW w:w="3134"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1034" w:type="dxa"/>
            <w:tcBorders/>
          </w:tcPr>
          <w:p>
            <w:pPr>
              <w:pStyle w:val="TableContents"/>
              <w:bidi w:val="0"/>
              <w:spacing w:before="0" w:after="283"/>
              <w:jc w:val="right"/>
              <w:rPr/>
            </w:pPr>
            <w:r>
              <w:rPr/>
              <w:t>By:</w:t>
            </w:r>
          </w:p>
        </w:tc>
        <w:tc>
          <w:tcPr>
            <w:tcW w:w="126" w:type="dxa"/>
            <w:tcBorders/>
            <w:vAlign w:val="bottom"/>
          </w:tcPr>
          <w:p>
            <w:pPr>
              <w:pStyle w:val="TableContents"/>
              <w:bidi w:val="0"/>
              <w:spacing w:before="0" w:after="283"/>
              <w:jc w:val="left"/>
              <w:rPr/>
            </w:pPr>
            <w:r>
              <w:rPr/>
              <w:t>  </w:t>
            </w:r>
          </w:p>
        </w:tc>
        <w:tc>
          <w:tcPr>
            <w:tcW w:w="2732" w:type="dxa"/>
            <w:tcBorders/>
          </w:tcPr>
          <w:p>
            <w:pPr>
              <w:pStyle w:val="TableContents"/>
              <w:pBdr>
                <w:bottom w:val="single" w:sz="2" w:space="1" w:color="000000"/>
              </w:pBdr>
              <w:bidi w:val="0"/>
              <w:spacing w:before="0" w:after="20"/>
              <w:jc w:val="left"/>
              <w:rPr/>
            </w:pPr>
            <w:r>
              <w:rPr/>
              <w:t> </w:t>
            </w:r>
          </w:p>
        </w:tc>
        <w:tc>
          <w:tcPr>
            <w:tcW w:w="126" w:type="dxa"/>
            <w:tcBorders/>
            <w:vAlign w:val="bottom"/>
          </w:tcPr>
          <w:p>
            <w:pPr>
              <w:pStyle w:val="TableContents"/>
              <w:bidi w:val="0"/>
              <w:spacing w:before="0" w:after="283"/>
              <w:jc w:val="left"/>
              <w:rPr/>
            </w:pPr>
            <w:r>
              <w:rPr/>
              <w:t>  </w:t>
            </w:r>
          </w:p>
        </w:tc>
        <w:tc>
          <w:tcPr>
            <w:tcW w:w="2942" w:type="dxa"/>
            <w:tcBorders/>
          </w:tcPr>
          <w:p>
            <w:pPr>
              <w:pStyle w:val="TableContents"/>
              <w:bidi w:val="0"/>
              <w:spacing w:before="0" w:after="283"/>
              <w:jc w:val="left"/>
              <w:rPr>
                <w:sz w:val="4"/>
                <w:szCs w:val="4"/>
              </w:rPr>
            </w:pPr>
            <w:r>
              <w:rPr>
                <w:sz w:val="4"/>
                <w:szCs w:val="4"/>
              </w:rPr>
            </w:r>
          </w:p>
        </w:tc>
      </w:tr>
      <w:tr>
        <w:trPr/>
        <w:tc>
          <w:tcPr>
            <w:tcW w:w="3134"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1034" w:type="dxa"/>
            <w:tcBorders/>
          </w:tcPr>
          <w:p>
            <w:pPr>
              <w:pStyle w:val="TableContents"/>
              <w:bidi w:val="0"/>
              <w:spacing w:before="0" w:after="283"/>
              <w:jc w:val="right"/>
              <w:rPr/>
            </w:pPr>
            <w:r>
              <w:rPr/>
              <w:t>Name/Title:</w:t>
            </w:r>
          </w:p>
        </w:tc>
        <w:tc>
          <w:tcPr>
            <w:tcW w:w="126" w:type="dxa"/>
            <w:tcBorders/>
            <w:vAlign w:val="bottom"/>
          </w:tcPr>
          <w:p>
            <w:pPr>
              <w:pStyle w:val="TableContents"/>
              <w:bidi w:val="0"/>
              <w:spacing w:before="0" w:after="283"/>
              <w:jc w:val="left"/>
              <w:rPr/>
            </w:pPr>
            <w:r>
              <w:rPr/>
              <w:t>  </w:t>
            </w:r>
          </w:p>
        </w:tc>
        <w:tc>
          <w:tcPr>
            <w:tcW w:w="2732" w:type="dxa"/>
            <w:tcBorders/>
          </w:tcPr>
          <w:p>
            <w:pPr>
              <w:pStyle w:val="TableContents"/>
              <w:pBdr>
                <w:bottom w:val="single" w:sz="2" w:space="1" w:color="000000"/>
              </w:pBdr>
              <w:bidi w:val="0"/>
              <w:spacing w:before="0" w:after="20"/>
              <w:jc w:val="left"/>
              <w:rPr/>
            </w:pPr>
            <w:r>
              <w:rPr/>
              <w:t> </w:t>
            </w:r>
          </w:p>
        </w:tc>
        <w:tc>
          <w:tcPr>
            <w:tcW w:w="126" w:type="dxa"/>
            <w:tcBorders/>
            <w:vAlign w:val="bottom"/>
          </w:tcPr>
          <w:p>
            <w:pPr>
              <w:pStyle w:val="TableContents"/>
              <w:bidi w:val="0"/>
              <w:spacing w:before="0" w:after="283"/>
              <w:jc w:val="left"/>
              <w:rPr/>
            </w:pPr>
            <w:r>
              <w:rPr/>
              <w:t>  </w:t>
            </w:r>
          </w:p>
        </w:tc>
        <w:tc>
          <w:tcPr>
            <w:tcW w:w="2942" w:type="dxa"/>
            <w:tcBorders/>
          </w:tcPr>
          <w:p>
            <w:pPr>
              <w:pStyle w:val="TableContents"/>
              <w:bidi w:val="0"/>
              <w:spacing w:before="0" w:after="283"/>
              <w:jc w:val="left"/>
              <w:rPr>
                <w:sz w:val="4"/>
                <w:szCs w:val="4"/>
              </w:rPr>
            </w:pPr>
            <w:r>
              <w:rPr>
                <w:sz w:val="4"/>
                <w:szCs w:val="4"/>
              </w:rPr>
            </w:r>
          </w:p>
        </w:tc>
      </w:tr>
      <w:tr>
        <w:trPr/>
        <w:tc>
          <w:tcPr>
            <w:tcW w:w="3134"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1034"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732" w:type="dxa"/>
            <w:tcBorders/>
          </w:tcPr>
          <w:p>
            <w:pPr>
              <w:pStyle w:val="TableContents"/>
              <w:bidi w:val="0"/>
              <w:spacing w:before="0" w:after="283"/>
              <w:jc w:val="left"/>
              <w:rPr/>
            </w:pPr>
            <w:r>
              <w:rPr/>
              <w:t>Director</w:t>
            </w:r>
          </w:p>
        </w:tc>
        <w:tc>
          <w:tcPr>
            <w:tcW w:w="126" w:type="dxa"/>
            <w:tcBorders/>
            <w:vAlign w:val="bottom"/>
          </w:tcPr>
          <w:p>
            <w:pPr>
              <w:pStyle w:val="TableContents"/>
              <w:bidi w:val="0"/>
              <w:spacing w:before="0" w:after="283"/>
              <w:jc w:val="left"/>
              <w:rPr/>
            </w:pPr>
            <w:r>
              <w:rPr/>
              <w:t>  </w:t>
            </w:r>
          </w:p>
        </w:tc>
        <w:tc>
          <w:tcPr>
            <w:tcW w:w="2942"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This Permanent Global Certificate (</w:t>
      </w:r>
      <w:r>
        <w:rPr>
          <w:rFonts w:ascii="Times New Roman" w:hAnsi="Times New Roman"/>
          <w:i/>
          <w:sz w:val="20"/>
        </w:rPr>
        <w:t>Globalurkunde auf Dauer</w:t>
      </w:r>
      <w:r>
        <w:rPr>
          <w:rFonts w:ascii="Times New Roman" w:hAnsi="Times New Roman"/>
          <w:sz w:val="20"/>
        </w:rPr>
        <w:t xml:space="preserve">) becomes valid only if </w:t>
      </w:r>
    </w:p>
    <w:p>
      <w:pPr>
        <w:pStyle w:val="TextBody"/>
        <w:bidi w:val="0"/>
        <w:spacing w:before="0" w:after="0"/>
        <w:jc w:val="center"/>
        <w:rPr>
          <w:rFonts w:ascii="Times New Roman" w:hAnsi="Times New Roman"/>
          <w:sz w:val="20"/>
        </w:rPr>
      </w:pPr>
      <w:r>
        <w:rPr>
          <w:rFonts w:ascii="Times New Roman" w:hAnsi="Times New Roman"/>
          <w:sz w:val="20"/>
        </w:rPr>
        <w:t xml:space="preserve">countersigned by two (2) officials of UBS AG: </w:t>
      </w:r>
    </w:p>
    <w:p>
      <w:pPr>
        <w:pStyle w:val="TextBody"/>
        <w:bidi w:val="0"/>
        <w:spacing w:before="240" w:after="0"/>
        <w:jc w:val="center"/>
        <w:rPr>
          <w:rFonts w:ascii="Times New Roman" w:hAnsi="Times New Roman"/>
          <w:b/>
          <w:sz w:val="20"/>
        </w:rPr>
      </w:pPr>
      <w:r>
        <w:rPr>
          <w:rFonts w:ascii="Times New Roman" w:hAnsi="Times New Roman"/>
          <w:b/>
          <w:sz w:val="20"/>
        </w:rPr>
        <w:t xml:space="preserve">UBS AG </w:t>
      </w:r>
    </w:p>
    <w:p>
      <w:pPr>
        <w:pStyle w:val="TextBody"/>
        <w:bidi w:val="0"/>
        <w:spacing w:before="240" w:after="0"/>
        <w:jc w:val="center"/>
        <w:rPr>
          <w:rFonts w:ascii="Times New Roman" w:hAnsi="Times New Roman"/>
          <w:sz w:val="20"/>
        </w:rPr>
      </w:pPr>
      <w:r>
        <w:rPr>
          <w:rFonts w:ascii="Times New Roman" w:hAnsi="Times New Roman"/>
          <w:sz w:val="20"/>
        </w:rPr>
        <w:t xml:space="preserve">without recourse, warranty or liability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93"/>
        <w:gridCol w:w="111"/>
        <w:gridCol w:w="361"/>
        <w:gridCol w:w="111"/>
        <w:gridCol w:w="2797"/>
        <w:gridCol w:w="123"/>
        <w:gridCol w:w="361"/>
        <w:gridCol w:w="123"/>
        <w:gridCol w:w="2597"/>
        <w:gridCol w:w="123"/>
        <w:gridCol w:w="1605"/>
      </w:tblGrid>
      <w:tr>
        <w:trPr/>
        <w:tc>
          <w:tcPr>
            <w:tcW w:w="1893"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279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59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r>
      <w:tr>
        <w:trPr/>
        <w:tc>
          <w:tcPr>
            <w:tcW w:w="1893"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61" w:type="dxa"/>
            <w:tcBorders/>
          </w:tcPr>
          <w:p>
            <w:pPr>
              <w:pStyle w:val="TableContents"/>
              <w:bidi w:val="0"/>
              <w:spacing w:before="0" w:after="283"/>
              <w:jc w:val="left"/>
              <w:rPr/>
            </w:pPr>
            <w:r>
              <w:rPr/>
              <w:t>By:</w:t>
            </w:r>
          </w:p>
        </w:tc>
        <w:tc>
          <w:tcPr>
            <w:tcW w:w="111" w:type="dxa"/>
            <w:tcBorders/>
            <w:vAlign w:val="bottom"/>
          </w:tcPr>
          <w:p>
            <w:pPr>
              <w:pStyle w:val="TableContents"/>
              <w:bidi w:val="0"/>
              <w:spacing w:before="0" w:after="283"/>
              <w:jc w:val="left"/>
              <w:rPr/>
            </w:pPr>
            <w:r>
              <w:rPr/>
              <w:t> </w:t>
            </w:r>
          </w:p>
        </w:tc>
        <w:tc>
          <w:tcPr>
            <w:tcW w:w="2797" w:type="dxa"/>
            <w:tcBorders/>
          </w:tcPr>
          <w:p>
            <w:pPr>
              <w:pStyle w:val="TableContents"/>
              <w:pBdr>
                <w:bottom w:val="single" w:sz="2" w:space="1" w:color="000000"/>
              </w:pBdr>
              <w:bidi w:val="0"/>
              <w:spacing w:before="0" w:after="20"/>
              <w:jc w:val="left"/>
              <w:rPr/>
            </w:pPr>
            <w:r>
              <w:rPr/>
              <w:t> </w:t>
            </w:r>
          </w:p>
        </w:tc>
        <w:tc>
          <w:tcPr>
            <w:tcW w:w="123" w:type="dxa"/>
            <w:tcBorders/>
            <w:vAlign w:val="bottom"/>
          </w:tcPr>
          <w:p>
            <w:pPr>
              <w:pStyle w:val="TableContents"/>
              <w:bidi w:val="0"/>
              <w:spacing w:before="0" w:after="283"/>
              <w:jc w:val="left"/>
              <w:rPr/>
            </w:pPr>
            <w:r>
              <w:rPr/>
              <w:t>  </w:t>
            </w:r>
          </w:p>
        </w:tc>
        <w:tc>
          <w:tcPr>
            <w:tcW w:w="361" w:type="dxa"/>
            <w:tcBorders/>
          </w:tcPr>
          <w:p>
            <w:pPr>
              <w:pStyle w:val="TableContents"/>
              <w:bidi w:val="0"/>
              <w:spacing w:before="0" w:after="283"/>
              <w:jc w:val="left"/>
              <w:rPr/>
            </w:pPr>
            <w:r>
              <w:rPr/>
              <w:t>By:</w:t>
            </w:r>
          </w:p>
        </w:tc>
        <w:tc>
          <w:tcPr>
            <w:tcW w:w="123" w:type="dxa"/>
            <w:tcBorders/>
            <w:vAlign w:val="bottom"/>
          </w:tcPr>
          <w:p>
            <w:pPr>
              <w:pStyle w:val="TableContents"/>
              <w:bidi w:val="0"/>
              <w:spacing w:before="0" w:after="283"/>
              <w:jc w:val="left"/>
              <w:rPr/>
            </w:pPr>
            <w:r>
              <w:rPr/>
              <w:t>  </w:t>
            </w:r>
          </w:p>
        </w:tc>
        <w:tc>
          <w:tcPr>
            <w:tcW w:w="2597" w:type="dxa"/>
            <w:tcBorders/>
          </w:tcPr>
          <w:p>
            <w:pPr>
              <w:pStyle w:val="TableContents"/>
              <w:pBdr>
                <w:bottom w:val="single" w:sz="2" w:space="1" w:color="000000"/>
              </w:pBdr>
              <w:bidi w:val="0"/>
              <w:spacing w:before="0" w:after="20"/>
              <w:jc w:val="left"/>
              <w:rPr/>
            </w:pPr>
            <w:r>
              <w:rPr/>
              <w:t> </w:t>
            </w:r>
          </w:p>
        </w:tc>
        <w:tc>
          <w:tcPr>
            <w:tcW w:w="123" w:type="dxa"/>
            <w:tcBorders/>
            <w:vAlign w:val="bottom"/>
          </w:tcPr>
          <w:p>
            <w:pPr>
              <w:pStyle w:val="TableContents"/>
              <w:bidi w:val="0"/>
              <w:spacing w:before="0" w:after="283"/>
              <w:jc w:val="left"/>
              <w:rPr/>
            </w:pPr>
            <w:r>
              <w:rPr/>
              <w:t>  </w:t>
            </w:r>
          </w:p>
        </w:tc>
        <w:tc>
          <w:tcPr>
            <w:tcW w:w="1605"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Permanent Global Certificate (2036 Notes) </w:t>
      </w:r>
    </w:p>
    <w:p>
      <w:pPr>
        <w:pStyle w:val="TextBody"/>
        <w:bidi w:val="0"/>
        <w:spacing w:before="0" w:after="0"/>
        <w:jc w:val="right"/>
        <w:rPr>
          <w:rFonts w:ascii="Times New Roman" w:hAnsi="Times New Roman"/>
          <w:b/>
          <w:sz w:val="20"/>
        </w:rPr>
      </w:pPr>
      <w:bookmarkStart w:id="10" w:name="d191285dex991.htm"/>
      <w:bookmarkStart w:id="11" w:name="ksd191285dex991"/>
      <w:bookmarkEnd w:id="10"/>
      <w:bookmarkEnd w:id="11"/>
      <w:r>
        <w:rPr>
          <w:rFonts w:ascii="Times New Roman" w:hAnsi="Times New Roman"/>
          <w:b/>
          <w:sz w:val="20"/>
        </w:rPr>
        <w:t xml:space="preserve">Exhibit 99.1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50"/>
        <w:gridCol w:w="122"/>
        <w:gridCol w:w="4733"/>
      </w:tblGrid>
      <w:tr>
        <w:trPr/>
        <w:tc>
          <w:tcPr>
            <w:tcW w:w="535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733" w:type="dxa"/>
            <w:tcBorders/>
            <w:vAlign w:val="center"/>
          </w:tcPr>
          <w:p>
            <w:pPr>
              <w:pStyle w:val="TableContents"/>
              <w:bidi w:val="0"/>
              <w:spacing w:before="0" w:after="283"/>
              <w:jc w:val="left"/>
              <w:rPr>
                <w:sz w:val="4"/>
                <w:szCs w:val="4"/>
              </w:rPr>
            </w:pPr>
            <w:r>
              <w:rPr>
                <w:sz w:val="4"/>
                <w:szCs w:val="4"/>
              </w:rPr>
            </w:r>
          </w:p>
        </w:tc>
      </w:tr>
      <w:tr>
        <w:trPr/>
        <w:tc>
          <w:tcPr>
            <w:tcW w:w="5350" w:type="dxa"/>
            <w:tcBorders/>
          </w:tcPr>
          <w:p>
            <w:pPr>
              <w:pStyle w:val="TableContents"/>
              <w:bidi w:val="0"/>
              <w:spacing w:before="0" w:after="20"/>
              <w:jc w:val="left"/>
              <w:rPr/>
            </w:pPr>
            <w:r>
              <w:rPr/>
              <w:drawing>
                <wp:inline distT="0" distB="0" distL="0" distR="0">
                  <wp:extent cx="1609725"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09725" cy="571500"/>
                          </a:xfrm>
                          <a:prstGeom prst="rect">
                            <a:avLst/>
                          </a:prstGeom>
                        </pic:spPr>
                      </pic:pic>
                    </a:graphicData>
                  </a:graphic>
                </wp:inline>
              </w:drawing>
            </w:r>
            <w:r>
              <w:rPr/>
              <w:t xml:space="preserve"> </w:t>
            </w:r>
          </w:p>
        </w:tc>
        <w:tc>
          <w:tcPr>
            <w:tcW w:w="122" w:type="dxa"/>
            <w:tcBorders/>
            <w:vAlign w:val="bottom"/>
          </w:tcPr>
          <w:p>
            <w:pPr>
              <w:pStyle w:val="TableContents"/>
              <w:bidi w:val="0"/>
              <w:spacing w:before="0" w:after="283"/>
              <w:jc w:val="left"/>
              <w:rPr/>
            </w:pPr>
            <w:r>
              <w:rPr/>
              <w:t>  </w:t>
            </w:r>
          </w:p>
        </w:tc>
        <w:tc>
          <w:tcPr>
            <w:tcW w:w="4733" w:type="dxa"/>
            <w:tcBorders/>
          </w:tcPr>
          <w:p>
            <w:pPr>
              <w:pStyle w:val="TableContents"/>
              <w:bidi w:val="0"/>
              <w:spacing w:before="0" w:after="283"/>
              <w:jc w:val="right"/>
              <w:rPr>
                <w:b/>
              </w:rPr>
            </w:pPr>
            <w:r>
              <w:rPr>
                <w:b/>
              </w:rPr>
              <w:t>NEWS RELEASE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Digital Realty Announces Closing CHF510 Million of Swiss Bonds </w:t>
      </w:r>
    </w:p>
    <w:p>
      <w:pPr>
        <w:pStyle w:val="TextBody"/>
        <w:bidi w:val="0"/>
        <w:spacing w:before="240" w:after="0"/>
        <w:jc w:val="left"/>
        <w:rPr>
          <w:rFonts w:ascii="Times New Roman" w:hAnsi="Times New Roman"/>
          <w:sz w:val="20"/>
        </w:rPr>
      </w:pPr>
      <w:r>
        <w:rPr>
          <w:rFonts w:ascii="Times New Roman" w:hAnsi="Times New Roman"/>
          <w:b/>
          <w:sz w:val="20"/>
        </w:rPr>
        <w:t>AUSTIN, Texas – October</w:t>
      </w:r>
      <w:r>
        <w:rPr>
          <w:rFonts w:ascii="Times New Roman" w:hAnsi="Times New Roman"/>
          <w:sz w:val="20"/>
        </w:rPr>
        <w:t> </w:t>
      </w:r>
      <w:r>
        <w:rPr>
          <w:rFonts w:ascii="Times New Roman" w:hAnsi="Times New Roman"/>
          <w:b/>
          <w:sz w:val="20"/>
        </w:rPr>
        <w:t xml:space="preserve">6, 2026 – </w:t>
      </w:r>
      <w:r>
        <w:rPr>
          <w:rFonts w:ascii="Times New Roman" w:hAnsi="Times New Roman"/>
          <w:sz w:val="20"/>
        </w:rPr>
        <w:t>Digital Realty (</w:t>
      </w:r>
      <w:r>
        <w:rPr>
          <w:rFonts w:ascii="Times New Roman" w:hAnsi="Times New Roman"/>
          <w:sz w:val="20"/>
          <w:u w:val="single"/>
        </w:rPr>
        <w:t>NYSE: DLR</w:t>
      </w:r>
      <w:r>
        <w:rPr>
          <w:rFonts w:ascii="Times New Roman" w:hAnsi="Times New Roman"/>
          <w:sz w:val="20"/>
        </w:rPr>
        <w:t xml:space="preserve">), a leading global provider of carrier- and cloud-neutral data center, colocation and interconnection solutions, announced today that Digital Constellation B.V., an indirect wholly-owned finance subsidiary of the company’s operating partnership, Digital Realty Trust, L.P., has closed an offering of CHF225 million of 1.6803% Swiss bonds due 2029 (the “2029 Swiss bonds”), CHF185 million of 2.0600% Swiss bonds due 2032 (the “2032 Swiss bonds”) and CHF100 million of 2.4150% Swiss bonds due 2036 (the “2036 Swiss bonds” and together with the 2029 Swiss bonds and the 2032 Swiss bonds, the “Swiss bonds”). </w:t>
      </w:r>
    </w:p>
    <w:p>
      <w:pPr>
        <w:pStyle w:val="TextBody"/>
        <w:bidi w:val="0"/>
        <w:spacing w:before="240" w:after="0"/>
        <w:jc w:val="left"/>
        <w:rPr>
          <w:rFonts w:ascii="Times New Roman" w:hAnsi="Times New Roman"/>
          <w:sz w:val="20"/>
        </w:rPr>
      </w:pPr>
      <w:r>
        <w:rPr>
          <w:rFonts w:ascii="Times New Roman" w:hAnsi="Times New Roman"/>
          <w:sz w:val="20"/>
        </w:rPr>
        <w:t xml:space="preserve">The Swiss bonds will be senior unsecured obligations of Digital Constellation B.V. and will be fully and unconditionally guaranteed by the company, the operating partnership and Digital Intrepid Holding B.V., an indirect wholly-owned holding and finance subsidiary of the operating partnership. Interest on the 2029 Swiss bonds will be payable annually in arrears at a rate of 1.6803% per annum from and including October 6, 2026, and the 2029 Swiss bonds will mature on October 8, 2029. Interest on the 2032 Swiss bonds will be payable annually in arrears at a rate of 2.0600% per annum from and including October 6, 2026, and the 2032 Swiss bonds will mature on October 6, 2032. Interest on the 2036 Swiss bonds will be payable annually in arrears at a rate of 2.4150% per annum from and including October 6, 2026, and the 2036 Swiss bonds will mature on October 6, 2036. </w:t>
      </w:r>
    </w:p>
    <w:p>
      <w:pPr>
        <w:pStyle w:val="TextBody"/>
        <w:bidi w:val="0"/>
        <w:spacing w:before="240" w:after="0"/>
        <w:jc w:val="left"/>
        <w:rPr>
          <w:rFonts w:ascii="Times New Roman" w:hAnsi="Times New Roman"/>
          <w:sz w:val="20"/>
        </w:rPr>
      </w:pPr>
      <w:r>
        <w:rPr>
          <w:rFonts w:ascii="Times New Roman" w:hAnsi="Times New Roman"/>
          <w:sz w:val="20"/>
        </w:rPr>
        <w:t xml:space="preserve">The company intends to use the net proceeds from the offering of the Swiss bonds to allocate an amount equal to the net proceeds from the offering of the Swiss bonds to finance or refinance, in part or in full, new and/or existing projects consistent with Digital Realty’s Green Bond Framework, including the development and redevelopment of such projects. Pending the allocation of the net proceeds of the Swiss bonds to such projects, all or a portion of an amount equal to the net proceeds from the Swiss bonds may be used to temporarily repay borrowings outstanding under the operating partnership’s global revolving credit facilities, acquire additional properties or businesses, fund development opportunities, invest in interest-bearing accounts and short-term, interest-bearing securities which are consistent with the company’s intention to qualify as a REIT for U.S. federal income tax purposes, and to provide for working capital and other general corporate purposes, including potentially for the repayment of other debt, or the redemption, repurchase, repayment or retirement of outstanding equity or debt securities, or a combination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The Swiss bonds are being sold only outside the United States in reliance on Regulation S under the U.S. Securities Act of 1933, as amended. The Swiss bonds have not been and will not be registered under the Securities Act and may not be offered or sold in the United States or to United States persons (within the meaning of Regulation S under the Securities Act) absent registration or an applicable exemption from registration requirements. This press release shall not constitute an offer to sell or a solicitation of an offer to buy the Swiss bonds, nor shall there be any offer, solicitation or sale of the Swiss bonds in any jurisdiction in which such offer, solicitation or sale would be unlawful. </w:t>
      </w:r>
    </w:p>
    <w:p>
      <w:pPr>
        <w:pStyle w:val="TextBody"/>
        <w:bidi w:val="0"/>
        <w:spacing w:before="360" w:after="0"/>
        <w:jc w:val="left"/>
        <w:rPr>
          <w:rFonts w:ascii="Times New Roman" w:hAnsi="Times New Roman"/>
          <w:b/>
          <w:sz w:val="20"/>
        </w:rPr>
      </w:pPr>
      <w:r>
        <w:rPr>
          <w:rFonts w:ascii="Times New Roman" w:hAnsi="Times New Roman"/>
          <w:b/>
          <w:sz w:val="20"/>
        </w:rPr>
        <w:t xml:space="preserve">Safe Harbor Statement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which are based on current expectations, forecasts and assumptions that involve risks and uncertainties that could cause actual outcomes and results to differ materially. For a list and description of such risks and uncertainties, see the company’s reports and other filings with the U.S. Securities and Exchange Commission, including the Annual Report on Form 10-K for the year ended December 31, 2025 and the Quarterly Report on Form 10-Q for the quarters ended March 31, 2026 and June 30, 2026. The company disclaims any intention or obligation to update or revise any forward-looking statements, whether as a result of new information, future events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w:t>
      </w:r>
      <w:r>
        <w:rPr>
          <w:rFonts w:ascii="Times New Roman" w:hAnsi="Times New Roman"/>
          <w:b/>
          <w:sz w:val="20"/>
        </w:rPr>
        <w:t>1</w:t>
      </w:r>
      <w:r>
        <w:rPr>
          <w:rFonts w:ascii="Times New Roman" w:hAnsi="Times New Roman"/>
          <w:sz w:val="20"/>
        </w:rPr>
        <w:t xml:space="preserve"> of </w:t>
      </w:r>
      <w:r>
        <w:rPr>
          <w:rFonts w:ascii="Times New Roman" w:hAnsi="Times New Roman"/>
          <w:b/>
          <w:sz w:val="20"/>
        </w:rPr>
        <w:t>2</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Regulation S Statement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not an offer to sell or a solicitation of an offer to buy securities of Digital Realty Trust, Inc. or its subsidiaries. The securities have not been and will not be registered under the Securities Act, or with any securities regulatory authority of any state or other jurisdiction of the United States. Consequently, the securities may not be offered, sold, resold, transferred, delivered or distributed, directly or indirectly, into or within the United States except pursuant to an exemption from, or in a transaction not subject to, the registration requirements of the Securities Act and in compliance with any applicable securities laws of any state or other jurisdiction of the United States. Any offering of the securities will be conducted pursuant to Regulation S under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European Economic Area Retail Investors </w:t>
      </w:r>
    </w:p>
    <w:p>
      <w:pPr>
        <w:pStyle w:val="TextBody"/>
        <w:bidi w:val="0"/>
        <w:spacing w:before="120" w:after="0"/>
        <w:jc w:val="left"/>
        <w:rPr>
          <w:rFonts w:ascii="Times New Roman" w:hAnsi="Times New Roman"/>
          <w:sz w:val="20"/>
        </w:rPr>
      </w:pPr>
      <w:r>
        <w:rPr>
          <w:rFonts w:ascii="Times New Roman" w:hAnsi="Times New Roman"/>
          <w:sz w:val="20"/>
        </w:rPr>
        <w:t xml:space="preserve">The Swiss bonds are not intended to be offered, sold or otherwise made available to and, with effect from such date, should not be offered, sold or otherwise made available to any retail investor in the European Economic Area (the “EEA”). For these purposes, a retail investor means a person who is one (or more) of: (i) a retail client as defined in point (11) of Article 4(1) of Directive 2014/65/EU (as amended, “MiFID II”); or (ii) a customer within the meaning of Directive 2016/97/EU (as amended, the “IMD”), where that customer would not qualify as a professional client as defined in point (10) of Article 4(1) of MiFID II. No key information document required by Regulation (EU) No 1286/2014 (as amended, the “PRIIPs Regulation”) for offering or selling any in scope instrument or otherwise making such instruments available to retail investors in the EEA has been prepared. Offering or selling the Swiss bonds or otherwise making them available to any retail investor in the EEA may be unlawful under the PRIIPs Regulation. This communication has been prepared on the basis that any offers or sales of Swiss bonds in any Member State of the EEA will be made pursuant to an exemption under Regulation (EU) 2017/1129 (as amended or superseded, the “Prospectus Regulation”) from the requirement to publish a prospectus for offers or sales of Swiss bonds. This communication is not a prospectus for the purposes of the Prospectus Regulation.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UK Retail Investors </w:t>
      </w:r>
    </w:p>
    <w:p>
      <w:pPr>
        <w:pStyle w:val="TextBody"/>
        <w:bidi w:val="0"/>
        <w:spacing w:before="120" w:after="0"/>
        <w:jc w:val="left"/>
        <w:rPr>
          <w:rFonts w:ascii="Times New Roman" w:hAnsi="Times New Roman"/>
          <w:sz w:val="20"/>
        </w:rPr>
      </w:pPr>
      <w:r>
        <w:rPr>
          <w:rFonts w:ascii="Times New Roman" w:hAnsi="Times New Roman"/>
          <w:sz w:val="20"/>
        </w:rPr>
        <w:t xml:space="preserve">This announcement is for distribution only to, and is directed at, persons who (i) have professional experience in matters relating to investments falling within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in connection with the issue or sale of any securities may otherwise lawfully be communicated or caused to be communicated (all such persons together being referred to as “relevant persons”). This announcement is directed only at relevant persons and must not be acted on or relied on by persons who are not relevant persons. Any investment or investment activity to which this announcement relates is available only to relevant persons and will be engaged in only with relevant persons. </w:t>
      </w:r>
    </w:p>
    <w:p>
      <w:pPr>
        <w:pStyle w:val="TextBody"/>
        <w:bidi w:val="0"/>
        <w:spacing w:before="240" w:after="0"/>
        <w:jc w:val="left"/>
        <w:rPr>
          <w:rFonts w:ascii="Times New Roman" w:hAnsi="Times New Roman"/>
          <w:sz w:val="20"/>
        </w:rPr>
      </w:pPr>
      <w:r>
        <w:rPr>
          <w:rFonts w:ascii="Times New Roman" w:hAnsi="Times New Roman"/>
          <w:sz w:val="20"/>
        </w:rPr>
        <w:t xml:space="preserve">The Swiss bonds are not intended to be offered, sold, distributed or otherwise made available to and should not be offered, sold, distributed or otherwise made available to any retail investor in the United Kingdom. For these purposes, a “retail investor” means a person who is either one (or both) of the following): (i) not a professional client, as defined in point (8) of Article 2(1) of Regulation (EU) No 600/2014 as it forms part of domestic law by virtue of the European Union (Withdrawal) Act 2018; or (ii) not a qualified investor as defined in paragraph 15 of Schedule 1 to the Public Offers and Admissions to Trading Regulations 2024”. Consequently, no disclosure document required by the Financial Conduct Authority Product Disclosure Sourcebook for offering, selling or distributing the Swiss bonds or otherwise making them available to retail investors in the U.K. has been prepared and therefore offering, selling or distributing the Swiss bonds or otherwise making them available to any retail investor in the U.K. may be unlawful under DISC and the Consumer Composite Investments (Designated Activities) Regulation 2024. </w:t>
      </w:r>
    </w:p>
    <w:p>
      <w:pPr>
        <w:pStyle w:val="TextBody"/>
        <w:bidi w:val="0"/>
        <w:spacing w:before="240" w:after="0"/>
        <w:jc w:val="left"/>
        <w:rPr>
          <w:rFonts w:ascii="Times New Roman" w:hAnsi="Times New Roman"/>
          <w:sz w:val="20"/>
        </w:rPr>
      </w:pPr>
      <w:r>
        <w:rPr>
          <w:rFonts w:ascii="Times New Roman" w:hAnsi="Times New Roman"/>
          <w:b/>
          <w:sz w:val="20"/>
        </w:rPr>
        <w:t>Investor Relations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Jordan Sadler / Jim Huseby </w:t>
      </w:r>
    </w:p>
    <w:p>
      <w:pPr>
        <w:pStyle w:val="TextBody"/>
        <w:bidi w:val="0"/>
        <w:spacing w:before="0" w:after="0"/>
        <w:jc w:val="left"/>
        <w:rPr>
          <w:rFonts w:ascii="Times New Roman" w:hAnsi="Times New Roman"/>
          <w:sz w:val="20"/>
        </w:rPr>
      </w:pPr>
      <w:r>
        <w:rPr>
          <w:rFonts w:ascii="Times New Roman" w:hAnsi="Times New Roman"/>
          <w:sz w:val="20"/>
        </w:rPr>
        <w:t xml:space="preserve">Digital Realty </w:t>
      </w:r>
    </w:p>
    <w:p>
      <w:pPr>
        <w:pStyle w:val="TextBody"/>
        <w:bidi w:val="0"/>
        <w:spacing w:before="0" w:after="0"/>
        <w:jc w:val="left"/>
        <w:rPr>
          <w:rFonts w:ascii="Times New Roman" w:hAnsi="Times New Roman"/>
          <w:sz w:val="20"/>
        </w:rPr>
      </w:pPr>
      <w:r>
        <w:rPr>
          <w:rFonts w:ascii="Times New Roman" w:hAnsi="Times New Roman"/>
          <w:sz w:val="20"/>
        </w:rPr>
        <w:t xml:space="preserve">+1 (737) 281- 0101 </w:t>
      </w:r>
    </w:p>
    <w:p>
      <w:pPr>
        <w:pStyle w:val="TextBody"/>
        <w:bidi w:val="0"/>
        <w:spacing w:before="0" w:after="0"/>
        <w:jc w:val="left"/>
        <w:rPr>
          <w:rFonts w:ascii="Times New Roman" w:hAnsi="Times New Roman"/>
          <w:sz w:val="20"/>
        </w:rPr>
      </w:pPr>
      <w:r>
        <w:rPr>
          <w:rFonts w:ascii="Times New Roman" w:hAnsi="Times New Roman"/>
          <w:sz w:val="20"/>
          <w:u w:val="single"/>
        </w:rPr>
        <w:t>InvestorRelations@digitalrealty.com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w:t>
      </w:r>
      <w:r>
        <w:rPr>
          <w:rFonts w:ascii="Times New Roman" w:hAnsi="Times New Roman"/>
          <w:b/>
          <w:sz w:val="20"/>
        </w:rPr>
        <w:t>2</w:t>
      </w:r>
      <w:r>
        <w:rPr>
          <w:rFonts w:ascii="Times New Roman" w:hAnsi="Times New Roman"/>
          <w:sz w:val="20"/>
        </w:rPr>
        <w:t xml:space="preserve"> of </w:t>
      </w:r>
      <w:r>
        <w:rPr>
          <w:rFonts w:ascii="Times New Roman" w:hAnsi="Times New Roman"/>
          <w:b/>
          <w:sz w:val="20"/>
        </w:rPr>
        <w:t>2</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43</Pages>
  <Words>22666</Words>
  <Characters>119084</Characters>
  <CharactersWithSpaces>141893</CharactersWithSpaces>
  <Paragraphs>935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