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890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9077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Swanezy Susan</w:t>
              </w:r>
            </w:hyperlink>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DIGITAL REALTY TRUST,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DLR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80" w:type="dxa"/>
            <w:vAlign w:val="bottom"/>
            <w:tcBorders>
              <w:top w:val="single" w:sz="8" w:color="0000EE"/>
            </w:tcBorders>
          </w:tcPr>
          <w:p>
            <w:pPr>
              <w:spacing w:after="0"/>
              <w:rPr>
                <w:sz w:val="5"/>
                <w:szCs w:val="5"/>
                <w:color w:val="auto"/>
              </w:rPr>
            </w:pPr>
          </w:p>
        </w:tc>
        <w:tc>
          <w:tcPr>
            <w:tcW w:w="8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60" w:type="dxa"/>
            <w:vAlign w:val="bottom"/>
            <w:gridSpan w:val="2"/>
            <w:vMerge w:val="restart"/>
          </w:tcPr>
          <w:p>
            <w:pPr>
              <w:ind w:left="24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03/31/2026</w:t>
            </w:r>
          </w:p>
        </w:tc>
        <w:tc>
          <w:tcPr>
            <w:tcW w:w="8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2323 BRYAN STREET</w:t>
            </w:r>
          </w:p>
        </w:tc>
        <w:tc>
          <w:tcPr>
            <w:tcW w:w="1600" w:type="dxa"/>
            <w:vAlign w:val="bottom"/>
          </w:tcPr>
          <w:p>
            <w:pPr>
              <w:spacing w:after="0"/>
              <w:rPr>
                <w:sz w:val="10"/>
                <w:szCs w:val="10"/>
                <w:color w:val="auto"/>
              </w:rPr>
            </w:pPr>
          </w:p>
        </w:tc>
        <w:tc>
          <w:tcPr>
            <w:tcW w:w="3040" w:type="dxa"/>
            <w:vAlign w:val="bottom"/>
            <w:gridSpan w:val="3"/>
            <w:vMerge w:val="continue"/>
          </w:tcPr>
          <w:p>
            <w:pPr>
              <w:spacing w:after="0"/>
              <w:rPr>
                <w:sz w:val="10"/>
                <w:szCs w:val="10"/>
                <w:color w:val="auto"/>
              </w:rPr>
            </w:pPr>
          </w:p>
        </w:tc>
        <w:tc>
          <w:tcPr>
            <w:tcW w:w="8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STE. 1800</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75201</w:t>
            </w:r>
          </w:p>
        </w:tc>
      </w:tr>
      <w:tr>
        <w:trPr>
          <w:trHeight w:val="152"/>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Long-</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Term</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color w:val="0000FF"/>
              </w:rPr>
              <w:t>03/31/2026</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152</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152</w:t>
            </w: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3,568</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700" w:type="dxa"/>
            <w:vAlign w:val="bottom"/>
          </w:tcPr>
          <w:p>
            <w:pPr>
              <w:ind w:left="60"/>
              <w:spacing w:after="0" w:line="112" w:lineRule="exact"/>
              <w:rPr>
                <w:sz w:val="20"/>
                <w:szCs w:val="20"/>
                <w:color w:val="auto"/>
              </w:rPr>
            </w:pPr>
            <w:r>
              <w:rPr>
                <w:rFonts w:ascii="Times New Roman" w:cs="Times New Roman" w:eastAsia="Times New Roman" w:hAnsi="Times New Roman"/>
                <w:sz w:val="12"/>
                <w:szCs w:val="12"/>
                <w:color w:val="0000FF"/>
              </w:rPr>
              <w:t>Incentive</w:t>
            </w:r>
          </w:p>
        </w:tc>
        <w:tc>
          <w:tcPr>
            <w:tcW w:w="7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ind w:left="180"/>
              <w:spacing w:after="0" w:line="112"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180" w:firstLine="3"/>
        <w:spacing w:after="0" w:line="23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Long-Term Incentive Units are profits interest units in Digital Realty Trust, L.P. ("Operating Partnership"), of which the Issuer is the general partner. Profits interest units may initially not have full parity with common limited partnership units of Operating Partnership ("Common Units") with respect to liquidating distributions; however upon the occurrence of specified events, profits interest units may achieve full parity with Common Units for all purposes. Vested profits interest units that have achieved full parity with Common Units may be converted into an equal number of Common Units on a 1-for-1 basis at any time. Common Units are redeemable for cash based on the FMV of an equivalent number of shares of common stock of the Issuer, or, at the election of the Issuer, for an equal number of shares of the Issuer's common stock, subject to adjustment in the event of stock splits, stock dividends, issuance of stock rights, specified extraordinary distributions or similar events.</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N/A</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statement of changes in beneficial ownership of securities ("Form 4") of the Issuer is being filed to report transactions that are being reported concurrently on a Form 4 for the Operating Partnership.</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Salini Nandipati, Attorney-</w:t>
            </w:r>
          </w:p>
        </w:tc>
        <w:tc>
          <w:tcPr>
            <w:tcW w:w="8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04/02/2026</w:t>
            </w:r>
          </w:p>
        </w:tc>
        <w:tc>
          <w:tcPr>
            <w:tcW w:w="0" w:type="dxa"/>
            <w:vAlign w:val="bottom"/>
          </w:tcPr>
          <w:p>
            <w:pPr>
              <w:spacing w:after="0"/>
              <w:rPr>
                <w:sz w:val="1"/>
                <w:szCs w:val="1"/>
                <w:color w:val="auto"/>
              </w:rPr>
            </w:pPr>
          </w:p>
        </w:tc>
      </w:tr>
      <w:tr>
        <w:trPr>
          <w:trHeight w:val="84"/>
        </w:trPr>
        <w:tc>
          <w:tcPr>
            <w:tcW w:w="48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in-Fact</w:t>
            </w:r>
          </w:p>
        </w:tc>
        <w:tc>
          <w:tcPr>
            <w:tcW w:w="164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4062" TargetMode="External"/><Relationship Id="rId14" Type="http://schemas.openxmlformats.org/officeDocument/2006/relationships/hyperlink" Target="http://www.sec.gov/cgi-bin/browse-edgar?action=getcompany&amp;CIK=0001297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2026-04-02T15:25:10Z</dcterms:created>
  <dcterms:modified xsi:type="dcterms:W3CDTF">2026-04-02T15:25:10Z</dcterms:modified>
</cp:coreProperties>
</file>