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890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890770"/>
                    </a:xfrm>
                    <a:prstGeom prst="rect">
                      <a:avLst/>
                    </a:prstGeom>
                    <a:noFill/>
                  </pic:spPr>
                </pic:pic>
              </a:graphicData>
            </a:graphic>
          </wp:anchor>
        </w:drawing>
      </w:r>
    </w:p>
    <w:p>
      <w:pPr>
        <w:spacing w:after="0" w:line="1198"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Jamieson VeraLinn</w:t>
              </w:r>
            </w:hyperlink>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DIGITAL REALTY TRUST,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DLR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1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80" w:type="dxa"/>
            <w:vAlign w:val="bottom"/>
            <w:tcBorders>
              <w:top w:val="single" w:sz="8" w:color="0000EE"/>
            </w:tcBorders>
          </w:tcPr>
          <w:p>
            <w:pPr>
              <w:spacing w:after="0"/>
              <w:rPr>
                <w:sz w:val="5"/>
                <w:szCs w:val="5"/>
                <w:color w:val="auto"/>
              </w:rPr>
            </w:pPr>
          </w:p>
        </w:tc>
        <w:tc>
          <w:tcPr>
            <w:tcW w:w="88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4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420" w:type="dxa"/>
            <w:vAlign w:val="bottom"/>
            <w:tcBorders>
              <w:top w:val="single" w:sz="8" w:color="EEEEEE"/>
            </w:tcBorders>
          </w:tcPr>
          <w:p>
            <w:pPr>
              <w:spacing w:after="0"/>
              <w:rPr>
                <w:sz w:val="2"/>
                <w:szCs w:val="2"/>
                <w:color w:val="auto"/>
              </w:rPr>
            </w:pPr>
          </w:p>
        </w:tc>
        <w:tc>
          <w:tcPr>
            <w:tcW w:w="16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020" w:type="dxa"/>
            <w:vAlign w:val="bottom"/>
            <w:gridSpan w:val="2"/>
            <w:vMerge w:val="restart"/>
          </w:tcPr>
          <w:p>
            <w:pPr>
              <w:ind w:left="220"/>
              <w:spacing w:after="0"/>
              <w:rPr>
                <w:sz w:val="20"/>
                <w:szCs w:val="20"/>
                <w:color w:val="auto"/>
              </w:rPr>
            </w:pPr>
            <w:r>
              <w:rPr>
                <w:rFonts w:ascii="Arial" w:cs="Arial" w:eastAsia="Arial" w:hAnsi="Arial"/>
                <w:sz w:val="13"/>
                <w:szCs w:val="13"/>
                <w:color w:val="auto"/>
              </w:rPr>
              <w:t>(First)</w:t>
            </w:r>
          </w:p>
        </w:tc>
        <w:tc>
          <w:tcPr>
            <w:tcW w:w="162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30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06/30/2026</w:t>
            </w:r>
          </w:p>
        </w:tc>
        <w:tc>
          <w:tcPr>
            <w:tcW w:w="8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601 W. 2ND STREET</w:t>
            </w:r>
          </w:p>
        </w:tc>
        <w:tc>
          <w:tcPr>
            <w:tcW w:w="1620" w:type="dxa"/>
            <w:vAlign w:val="bottom"/>
          </w:tcPr>
          <w:p>
            <w:pPr>
              <w:spacing w:after="0"/>
              <w:rPr>
                <w:sz w:val="10"/>
                <w:szCs w:val="10"/>
                <w:color w:val="auto"/>
              </w:rPr>
            </w:pPr>
          </w:p>
        </w:tc>
        <w:tc>
          <w:tcPr>
            <w:tcW w:w="3040" w:type="dxa"/>
            <w:vAlign w:val="bottom"/>
            <w:gridSpan w:val="3"/>
            <w:vMerge w:val="continue"/>
          </w:tcPr>
          <w:p>
            <w:pPr>
              <w:spacing w:after="0"/>
              <w:rPr>
                <w:sz w:val="10"/>
                <w:szCs w:val="10"/>
                <w:color w:val="auto"/>
              </w:rPr>
            </w:pPr>
          </w:p>
        </w:tc>
        <w:tc>
          <w:tcPr>
            <w:tcW w:w="8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20" w:type="dxa"/>
            <w:vAlign w:val="bottom"/>
            <w:gridSpan w:val="3"/>
            <w:vMerge w:val="continue"/>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FLOOR 32</w:t>
            </w: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88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AUSTIN</w:t>
            </w:r>
          </w:p>
        </w:tc>
        <w:tc>
          <w:tcPr>
            <w:tcW w:w="11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78701</w:t>
            </w:r>
          </w:p>
        </w:tc>
      </w:tr>
      <w:tr>
        <w:trPr>
          <w:trHeight w:val="152"/>
        </w:trPr>
        <w:tc>
          <w:tcPr>
            <w:tcW w:w="2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90"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Long-</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Term</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vMerge w:val="restart"/>
          </w:tcPr>
          <w:p>
            <w:pPr>
              <w:jc w:val="right"/>
              <w:ind w:right="200"/>
              <w:spacing w:after="0"/>
              <w:rPr>
                <w:sz w:val="20"/>
                <w:szCs w:val="20"/>
                <w:color w:val="auto"/>
              </w:rPr>
            </w:pPr>
            <w:r>
              <w:rPr>
                <w:rFonts w:ascii="Times New Roman" w:cs="Times New Roman" w:eastAsia="Times New Roman" w:hAnsi="Times New Roman"/>
                <w:sz w:val="13"/>
                <w:szCs w:val="13"/>
                <w:color w:val="0000FF"/>
              </w:rPr>
              <w:t>06/30/2026</w:t>
            </w:r>
          </w:p>
        </w:tc>
        <w:tc>
          <w:tcPr>
            <w:tcW w:w="1100" w:type="dxa"/>
            <w:vAlign w:val="bottom"/>
          </w:tcPr>
          <w:p>
            <w:pPr>
              <w:spacing w:after="0"/>
              <w:rPr>
                <w:sz w:val="15"/>
                <w:szCs w:val="15"/>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153</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153</w:t>
            </w:r>
          </w:p>
        </w:tc>
        <w:tc>
          <w:tcPr>
            <w:tcW w:w="70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4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14,696</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700" w:type="dxa"/>
            <w:vAlign w:val="bottom"/>
          </w:tcPr>
          <w:p>
            <w:pPr>
              <w:ind w:left="60"/>
              <w:spacing w:after="0" w:line="112" w:lineRule="exact"/>
              <w:rPr>
                <w:sz w:val="20"/>
                <w:szCs w:val="20"/>
                <w:color w:val="auto"/>
              </w:rPr>
            </w:pPr>
            <w:r>
              <w:rPr>
                <w:rFonts w:ascii="Times New Roman" w:cs="Times New Roman" w:eastAsia="Times New Roman" w:hAnsi="Times New Roman"/>
                <w:sz w:val="12"/>
                <w:szCs w:val="12"/>
                <w:color w:val="0000FF"/>
              </w:rPr>
              <w:t>Incentive</w:t>
            </w:r>
          </w:p>
        </w:tc>
        <w:tc>
          <w:tcPr>
            <w:tcW w:w="78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ind w:left="180"/>
              <w:spacing w:after="0" w:line="112" w:lineRule="exact"/>
              <w:rPr>
                <w:sz w:val="20"/>
                <w:szCs w:val="20"/>
                <w:color w:val="auto"/>
              </w:rPr>
            </w:pPr>
            <w:r>
              <w:rPr>
                <w:rFonts w:ascii="Times New Roman" w:cs="Times New Roman" w:eastAsia="Times New Roman" w:hAnsi="Times New Roman"/>
                <w:sz w:val="12"/>
                <w:szCs w:val="12"/>
                <w:color w:val="0000FF"/>
              </w:rPr>
              <w:t>Stock</w:t>
            </w:r>
          </w:p>
        </w:tc>
        <w:tc>
          <w:tcPr>
            <w:tcW w:w="5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40" w:right="180" w:firstLine="3"/>
        <w:spacing w:after="0" w:line="23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Long-Term Incentive Units are profits interest units in Digital Realty Trust, L.P. ("Operating Partnership"), of which the Issuer is the general partner. Profits interest units may initially not have full parity with common limited partnership units of Operating Partnership ("Common Units") with respect to liquidating distributions; however upon the occurrence of specified events, profits interest units may achieve full parity with Common Units for all purposes. Vested profits interest units that have achieved full parity with Common Units may be converted into an equal number of Common Units on a 1-for-1 basis at any time. Common Units are redeemable for cash based on the FMV of an equivalent number of shares of common stock of the Issuer, or, at the election of the Issuer, for an equal number of shares of the Issuer's common stock, subject to adjustment in the event of stock splits, stock dividends, issuance of stock rights, specified extraordinary distributions or similar events.</w:t>
      </w:r>
    </w:p>
    <w:p>
      <w:pPr>
        <w:spacing w:after="0" w:line="27"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N/A</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This statement of changes in beneficial ownership of securities ("Form 4") of the Issuer is being filed to report transactions that are being reported concurrently on a Form 4 for the Operating Partnership.</w:t>
      </w:r>
    </w:p>
    <w:p>
      <w:pPr>
        <w:spacing w:after="0" w:line="39"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Salini Nandipati, Attorney-</w:t>
            </w:r>
          </w:p>
        </w:tc>
        <w:tc>
          <w:tcPr>
            <w:tcW w:w="80" w:type="dxa"/>
            <w:vAlign w:val="bottom"/>
          </w:tcPr>
          <w:p>
            <w:pPr>
              <w:spacing w:after="0"/>
              <w:rPr>
                <w:sz w:val="18"/>
                <w:szCs w:val="18"/>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8"/>
              </w:rPr>
              <w:t>07/02/2026</w:t>
            </w:r>
          </w:p>
        </w:tc>
        <w:tc>
          <w:tcPr>
            <w:tcW w:w="0" w:type="dxa"/>
            <w:vAlign w:val="bottom"/>
          </w:tcPr>
          <w:p>
            <w:pPr>
              <w:spacing w:after="0"/>
              <w:rPr>
                <w:sz w:val="1"/>
                <w:szCs w:val="1"/>
                <w:color w:val="auto"/>
              </w:rPr>
            </w:pPr>
          </w:p>
        </w:tc>
      </w:tr>
      <w:tr>
        <w:trPr>
          <w:trHeight w:val="84"/>
        </w:trPr>
        <w:tc>
          <w:tcPr>
            <w:tcW w:w="48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5"/>
              </w:rPr>
              <w:t>in-Fact</w:t>
            </w:r>
          </w:p>
        </w:tc>
        <w:tc>
          <w:tcPr>
            <w:tcW w:w="164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80" w:type="dxa"/>
            <w:vAlign w:val="bottom"/>
            <w:tcBorders>
              <w:bottom w:val="single" w:sz="8" w:color="auto"/>
            </w:tcBorders>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98457" TargetMode="External"/><Relationship Id="rId14" Type="http://schemas.openxmlformats.org/officeDocument/2006/relationships/hyperlink" Target="http://www.sec.gov/cgi-bin/browse-edgar?action=getcompany&amp;CIK=00012979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2026-07-02T15:13:06Z</dcterms:created>
  <dcterms:modified xsi:type="dcterms:W3CDTF">2026-07-02T15:13:06Z</dcterms:modified>
</cp:coreProperties>
</file>