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14399d424b7.htm"/>
        <w:bookmarkStart w:id="1" w:name="ksd914399d424b7"/>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424(b)(7)</w:t>
        <w:br/>
        <w:t xml:space="preserve">Registration No. 333-293494 </w:t>
      </w:r>
    </w:p>
    <w:p>
      <w:pPr>
        <w:pStyle w:val="TextBody"/>
        <w:bidi w:val="0"/>
        <w:spacing w:before="0" w:after="0"/>
        <w:jc w:val="left"/>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PROSPECTUS SUPPLEMENT</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February 17,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166687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6191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696,060 </w:t>
      </w:r>
    </w:p>
    <w:p>
      <w:pPr>
        <w:pStyle w:val="TextBody"/>
        <w:bidi w:val="0"/>
        <w:spacing w:before="240" w:after="0"/>
        <w:jc w:val="center"/>
        <w:rPr>
          <w:rFonts w:ascii="Times New Roman" w:hAnsi="Times New Roman"/>
          <w:b/>
          <w:sz w:val="48"/>
        </w:rPr>
      </w:pPr>
      <w:r>
        <w:rPr>
          <w:rFonts w:ascii="Times New Roman" w:hAnsi="Times New Roman"/>
          <w:b/>
          <w:sz w:val="48"/>
        </w:rPr>
        <w:t xml:space="preserve">Digital Realty Trust,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9"/>
        </w:rPr>
      </w:pPr>
      <w:r>
        <w:rPr>
          <w:rFonts w:ascii="Times New Roman" w:hAnsi="Times New Roman"/>
          <w:sz w:val="19"/>
        </w:rPr>
        <w:t xml:space="preserve">This prospectus supplement relates to the potential resale from time to time by the selling stockholders identified in this prospectus supplement of some or all of 696,060 shares of our common stock, $0.01 par value per share (“common stock”). The registration of the shares of common stock covered by this prospectus supplement does not necessarily mean that any of the shares will be offered or sold by the selling stockholders. The selling stockholders acquired the shares of common stock on August 19, 2026 pursuant to the transactions contemplated in that certain purchase agreement dated May 8, 2026, by and among us, Digital Cloud Holding, LLC, Columbia Capital GP, LLC, the selling stockholders named therein and James B. Fleming, Jr., as seller representative (the “Purchase Agreement”). We issued the shares in reliance upon the exemption from registration afforded by Section 4(a)(2) of the Securities Act of 1933, as amended (the “Securities Act”), and are registering such shares pursuant to the Columbia Capital Registration Rights Agreement (as defined below). For information regarding the selling stockholders, please refer to the section entitled “Selling Stockholders” on page S-4 of this prospectus supplement. </w:t>
      </w:r>
    </w:p>
    <w:p>
      <w:pPr>
        <w:pStyle w:val="TextBody"/>
        <w:bidi w:val="0"/>
        <w:spacing w:before="240" w:after="0"/>
        <w:jc w:val="left"/>
        <w:rPr>
          <w:rFonts w:ascii="Times New Roman" w:hAnsi="Times New Roman"/>
          <w:sz w:val="19"/>
        </w:rPr>
      </w:pPr>
      <w:r>
        <w:rPr>
          <w:rFonts w:ascii="Times New Roman" w:hAnsi="Times New Roman"/>
          <w:sz w:val="19"/>
        </w:rPr>
        <w:t xml:space="preserve">We are not selling any shares of common stock under this prospectus supplement and will not receive any proceeds from the resale of shares by the selling stockholders, but we have agreed to pay certain registration expenses. See “Use of Proceeds.” </w:t>
      </w:r>
    </w:p>
    <w:p>
      <w:pPr>
        <w:pStyle w:val="TextBody"/>
        <w:bidi w:val="0"/>
        <w:spacing w:before="240" w:after="0"/>
        <w:jc w:val="left"/>
        <w:rPr>
          <w:rFonts w:ascii="Times New Roman" w:hAnsi="Times New Roman"/>
          <w:sz w:val="19"/>
        </w:rPr>
      </w:pPr>
      <w:r>
        <w:rPr>
          <w:rFonts w:ascii="Times New Roman" w:hAnsi="Times New Roman"/>
          <w:sz w:val="19"/>
        </w:rPr>
        <w:t xml:space="preserve">The selling stockholders identified in this prospectus supplement (which term as used herein includes their pledgees, donees, transferees, or other successors in interest), may offer the securities from time to time as they may determine directly or through underwriters, broker-dealers or agents and in one or more public or private transactions and at fixed prices, prevailing market prices, at prices related to prevailing market prices or at negotiated prices. If the securities are sold through underwriters, broker-dealers or agents, the selling stockholders will be responsible for underwriting discounts or commissions or agents’ commissions. See the sections entitled “Plan of Distribution” and “About this Prospectus Supplement and the Prospectus” for more information. </w:t>
      </w:r>
    </w:p>
    <w:p>
      <w:pPr>
        <w:pStyle w:val="TextBody"/>
        <w:bidi w:val="0"/>
        <w:spacing w:before="240" w:after="0"/>
        <w:jc w:val="left"/>
        <w:rPr>
          <w:rFonts w:ascii="Times New Roman" w:hAnsi="Times New Roman"/>
          <w:sz w:val="19"/>
        </w:rPr>
      </w:pPr>
      <w:r>
        <w:rPr>
          <w:rFonts w:ascii="Times New Roman" w:hAnsi="Times New Roman"/>
          <w:sz w:val="19"/>
        </w:rPr>
        <w:t xml:space="preserve">We are organized and conduct our operations to qualify as a real estate investment trust (“REIT”) for U.S. federal income tax purposes. To assist us in complying with certain federal income tax requirements applicable to REITs, our charter contains certain restrictions relating to the ownership and transfer of our stock, including an ownership limit of 9.8% (by value or by number of shares, whichever is more restrictive) on the outstanding shares of our common stock. </w:t>
      </w:r>
    </w:p>
    <w:p>
      <w:pPr>
        <w:pStyle w:val="TextBody"/>
        <w:bidi w:val="0"/>
        <w:spacing w:before="240" w:after="0"/>
        <w:jc w:val="left"/>
        <w:rPr>
          <w:rFonts w:ascii="Times New Roman" w:hAnsi="Times New Roman"/>
          <w:sz w:val="19"/>
        </w:rPr>
      </w:pPr>
      <w:r>
        <w:rPr>
          <w:rFonts w:ascii="Times New Roman" w:hAnsi="Times New Roman"/>
          <w:sz w:val="19"/>
        </w:rPr>
        <w:t xml:space="preserve">Our common stock is listed on the New York Stock Exchange under the symbol “DLR”. The last reported sale price of our common stock on the New York Stock Exchange on August 18, 2026 was $195.25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risks. See “</w:t>
      </w:r>
      <w:hyperlink w:anchor="supprom914399_5">
        <w:r>
          <w:rPr>
            <w:rStyle w:val="InternetLink"/>
            <w:rFonts w:ascii="Times New Roman" w:hAnsi="Times New Roman"/>
            <w:b/>
            <w:sz w:val="24"/>
          </w:rPr>
          <w:t>Risk Factors</w:t>
        </w:r>
      </w:hyperlink>
      <w:r>
        <w:rPr>
          <w:rFonts w:ascii="Times New Roman" w:hAnsi="Times New Roman"/>
          <w:b/>
          <w:sz w:val="24"/>
        </w:rPr>
        <w:t xml:space="preserve">” beginning on page S-2 of this prospectus supplement and the matters discussed in the documents incorporated by reference in this prospectus supplement and the accompanying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(the “SEC”) nor any state securities commission, nor any other regulatory body has approved or disapproved of these securities or passed on the adequacy or accuracy of this prospectus supplement and the prospectus to which it relates.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August 19,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3" w:type="dxa"/>
            <w:tcBorders/>
          </w:tcPr>
          <w:p>
            <w:pPr>
              <w:pStyle w:val="TableContents"/>
              <w:bidi w:val="0"/>
              <w:spacing w:before="0" w:after="0"/>
              <w:jc w:val="left"/>
              <w:rPr/>
            </w:pPr>
            <w:hyperlink w:anchor="supprom914399_1">
              <w:r>
                <w:rPr>
                  <w:rStyle w:val="InternetLink"/>
                  <w:rFonts w:ascii="Times New Roman" w:hAnsi="Times New Roman"/>
                  <w:sz w:val="20"/>
                </w:rPr>
                <w:t>About This Prospectus Supplement and the Prospectus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rom914399_2">
              <w:r>
                <w:rPr>
                  <w:rStyle w:val="InternetLink"/>
                  <w:rFonts w:ascii="Times New Roman" w:hAnsi="Times New Roman"/>
                  <w:sz w:val="20"/>
                </w:rPr>
                <w:t>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S-iv</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rom914399_3">
              <w:r>
                <w:rPr>
                  <w:rStyle w:val="InternetLink"/>
                  <w:rFonts w:ascii="Times New Roman" w:hAnsi="Times New Roman"/>
                  <w:sz w:val="20"/>
                </w:rPr>
                <w:t>Prospectus Supplement Summary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rom914399_4">
              <w:r>
                <w:rPr>
                  <w:rStyle w:val="InternetLink"/>
                  <w:rFonts w:ascii="Times New Roman" w:hAnsi="Times New Roman"/>
                  <w:sz w:val="20"/>
                </w:rPr>
                <w:t>The Offering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rom914399_5">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rom914399_6">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rom914399_7">
              <w:r>
                <w:rPr>
                  <w:rStyle w:val="InternetLink"/>
                  <w:rFonts w:ascii="Times New Roman" w:hAnsi="Times New Roman"/>
                  <w:sz w:val="20"/>
                </w:rPr>
                <w:t xml:space="preserve">Selling Stockholders </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rom914399_8">
              <w:r>
                <w:rPr>
                  <w:rStyle w:val="InternetLink"/>
                  <w:rFonts w:ascii="Times New Roman" w:hAnsi="Times New Roman"/>
                  <w:sz w:val="20"/>
                </w:rPr>
                <w:t>Plan of Distribution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rom914399_9">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rom914399_10">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rom914399_11">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rom914399_12">
              <w:r>
                <w:rPr>
                  <w:rStyle w:val="InternetLink"/>
                  <w:rFonts w:ascii="Times New Roman" w:hAnsi="Times New Roman"/>
                  <w:sz w:val="20"/>
                </w:rPr>
                <w:t>Incorporation By Reference</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57"/>
        <w:gridCol w:w="357"/>
        <w:gridCol w:w="96"/>
        <w:gridCol w:w="432"/>
        <w:gridCol w:w="63"/>
      </w:tblGrid>
      <w:tr>
        <w:trPr/>
        <w:tc>
          <w:tcPr>
            <w:tcW w:w="9257"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57"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5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x914399_1">
              <w:r>
                <w:rPr>
                  <w:rStyle w:val="InternetLink"/>
                  <w:rFonts w:ascii="Times New Roman" w:hAnsi="Times New Roman"/>
                  <w:sz w:val="20"/>
                </w:rPr>
                <w:t>About This Prospectus</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x914399_2">
              <w:r>
                <w:rPr>
                  <w:rStyle w:val="InternetLink"/>
                  <w:rFonts w:ascii="Times New Roman" w:hAnsi="Times New Roman"/>
                  <w:sz w:val="20"/>
                </w:rPr>
                <w:t>Our Company</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x914399_3">
              <w:r>
                <w:rPr>
                  <w:rStyle w:val="InternetLink"/>
                  <w:rFonts w:ascii="Times New Roman" w:hAnsi="Times New Roman"/>
                  <w:sz w:val="20"/>
                </w:rPr>
                <w:t>Risk Factors</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x914399_4">
              <w:r>
                <w:rPr>
                  <w:rStyle w:val="InternetLink"/>
                  <w:rFonts w:ascii="Times New Roman" w:hAnsi="Times New Roman"/>
                  <w:sz w:val="20"/>
                </w:rPr>
                <w:t>Where You Can Find More Information</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x914399_5">
              <w:r>
                <w:rPr>
                  <w:rStyle w:val="InternetLink"/>
                  <w:rFonts w:ascii="Times New Roman" w:hAnsi="Times New Roman"/>
                  <w:sz w:val="20"/>
                </w:rPr>
                <w:t>Incorporation of Certain Documents by Reference</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x914399_6">
              <w:r>
                <w:rPr>
                  <w:rStyle w:val="InternetLink"/>
                  <w:rFonts w:ascii="Times New Roman" w:hAnsi="Times New Roman"/>
                  <w:sz w:val="20"/>
                </w:rPr>
                <w:t>Use of Proceeds</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x914399_7">
              <w:r>
                <w:rPr>
                  <w:rStyle w:val="InternetLink"/>
                  <w:rFonts w:ascii="Times New Roman" w:hAnsi="Times New Roman"/>
                  <w:sz w:val="20"/>
                </w:rPr>
                <w:t>Description of Common Stock</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x914399_8">
              <w:r>
                <w:rPr>
                  <w:rStyle w:val="InternetLink"/>
                  <w:rFonts w:ascii="Times New Roman" w:hAnsi="Times New Roman"/>
                  <w:sz w:val="20"/>
                </w:rPr>
                <w:t>Description of Preferred Stock</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x914399_9">
              <w:r>
                <w:rPr>
                  <w:rStyle w:val="InternetLink"/>
                  <w:rFonts w:ascii="Times New Roman" w:hAnsi="Times New Roman"/>
                  <w:sz w:val="20"/>
                </w:rPr>
                <w:t>Description of Depositary Shares</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x914399_10">
              <w:r>
                <w:rPr>
                  <w:rStyle w:val="InternetLink"/>
                  <w:rFonts w:ascii="Times New Roman" w:hAnsi="Times New Roman"/>
                  <w:sz w:val="20"/>
                </w:rPr>
                <w:t>Description of Warrants</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x914399_11">
              <w:r>
                <w:rPr>
                  <w:rStyle w:val="InternetLink"/>
                  <w:rFonts w:ascii="Times New Roman" w:hAnsi="Times New Roman"/>
                  <w:sz w:val="20"/>
                </w:rPr>
                <w:t>Description of Debt Securities and Related Guarantees</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x914399_12">
              <w:r>
                <w:rPr>
                  <w:rStyle w:val="InternetLink"/>
                  <w:rFonts w:ascii="Times New Roman" w:hAnsi="Times New Roman"/>
                  <w:sz w:val="20"/>
                </w:rPr>
                <w:t>Restrictions on Ownership and Transfer</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x914399_13">
              <w:r>
                <w:rPr>
                  <w:rStyle w:val="InternetLink"/>
                  <w:rFonts w:ascii="Times New Roman" w:hAnsi="Times New Roman"/>
                  <w:sz w:val="20"/>
                </w:rPr>
                <w:t>Description of the Partnership Agreement of Digital Realty Trust, L.P.</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x914399_14">
              <w:r>
                <w:rPr>
                  <w:rStyle w:val="InternetLink"/>
                  <w:rFonts w:ascii="Times New Roman" w:hAnsi="Times New Roman"/>
                  <w:sz w:val="20"/>
                </w:rPr>
                <w:t>Material Provisions of Maryland Law and of the Charter and Bylaws of Digital Realty Trust, Inc.</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x914399_15">
              <w:r>
                <w:rPr>
                  <w:rStyle w:val="InternetLink"/>
                  <w:rFonts w:ascii="Times New Roman" w:hAnsi="Times New Roman"/>
                  <w:sz w:val="20"/>
                </w:rPr>
                <w:t>United States Federal Income Tax Considerations</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x914399_16">
              <w:r>
                <w:rPr>
                  <w:rStyle w:val="InternetLink"/>
                  <w:rFonts w:ascii="Times New Roman" w:hAnsi="Times New Roman"/>
                  <w:sz w:val="20"/>
                </w:rPr>
                <w:t>Selling Securityholders</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x914399_17">
              <w:r>
                <w:rPr>
                  <w:rStyle w:val="InternetLink"/>
                  <w:rFonts w:ascii="Times New Roman" w:hAnsi="Times New Roman"/>
                  <w:sz w:val="20"/>
                </w:rPr>
                <w:t>Plan of Distribution</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x914399_18">
              <w:r>
                <w:rPr>
                  <w:rStyle w:val="InternetLink"/>
                  <w:rFonts w:ascii="Times New Roman" w:hAnsi="Times New Roman"/>
                  <w:sz w:val="20"/>
                </w:rPr>
                <w:t>Legal Matters</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x914399_19">
              <w:r>
                <w:rPr>
                  <w:rStyle w:val="InternetLink"/>
                  <w:rFonts w:ascii="Times New Roman" w:hAnsi="Times New Roman"/>
                  <w:sz w:val="20"/>
                </w:rPr>
                <w:t>Experts</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in or incorporated by reference into this prospectus supplement, the accompanying prospectus or any applicable free writing prospectus in making a decision about whether to invest in our common stock. We and the selling stockholders have not authorized any other person to provide you with different or additional information. If anyone provides you with different or additional information, you should not rely on it. The distribution of this prospectus supplement and the accompanying prospectus and the offering of the common stock in certain jurisdictions may be restricted by law. If you possess this prospectus supplement and the accompanying prospectus, you should find out about and observe these restrictions. This prospectus supplement and the accompanying prospectus do not constitute an offer to sell, or a solicitation of an offer to purchase, any securities in any jurisdiction where it is unlawful to make such offer or solicitation or where the person making the offer or sale is not qualified to do so or to any person to whom it is not permitted to make such offer or sale. You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should assume that the information appearing in this prospectus supplement, the accompanying prospectus, any applicable free writing prospectus and the documents incorporated by reference herein or therein is accurate only as of their respective dates or on the date or dates which are specified in these documents. Our business, financial condition, liquidity, results of operations and prospects may have changed since those dates. The description set forth in this prospectus supplement replaces and supplements, where inconsistent, the description of the general terms and provisions set forth in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914399_1"/>
      <w:bookmarkEnd w:id="3"/>
      <w:r>
        <w:rPr>
          <w:rFonts w:ascii="Times New Roman" w:hAnsi="Times New Roman"/>
          <w:b/>
          <w:sz w:val="20"/>
        </w:rPr>
        <w:t xml:space="preserve">ABOUT THIS PROSPECTUS SUPPLEMENT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prospectus are part of an “automatic shelf” registration statement that we filed with the SEC as a “well-known seasoned issuer” as defined in Rule 405 under the Securities Act utilizing a “shelf” registration process.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terms of this offering and also adds to, changes and updates information contained in the accompanying prospectus and the documents incorporated by reference into this prospectus supplement and the accompanying prospectus. The second part, the accompanying prospectus, gives more general information about the securities we may offer from time to time, some of which does not apply to the common stock the selling stockholders are offering. To the extent any inconsistency or conflict exists between the information included in this prospectus supplement and the information included in the accompanying prospectus, the information included or incorporated by reference in this prospectus supplement updates and supersedes the information in the accompanying prospectus. This prospectus supplement incorporates by reference important business and financial information about us that is not included in or delivered with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It is important for you to read and consider all information contained in this prospectus supplement and the accompanying prospectus in making your investment decision. You should also read and consider the information contained in the documents identified under the heading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unless the context requires otherwise, all references in this prospectus supplement to “we,” “us,” “our,” “our company” or “the company” refer to Digital Realty Trust, Inc., a Maryland corporation, together with its consolidated subsidiaries, including Digital Realty Trust, L.P., a Maryland limited partnership, of which Digital Realty Trust, Inc. is the sole general partner. In statements regarding qualification as a REIT, such terms refer solely to Digital Realty Trust, Inc. Unless otherwise indicated or unless the context requires otherwise, all references in this prospectus supplement to “our operating partnership” or “the operating partnership” refer to Digital Realty Trust, L.P. together with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rom914399_2"/>
      <w:bookmarkEnd w:id="4"/>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We make statements in this prospectus supplement, the accompanying prospectus and the documents incorporated herein and therein by reference that are forward-looking statements within the meaning of the federal securities laws. In particular, statements pertaining to our capital resources, expected use of borrowings under our credit facilities, litigation matters or legal proceedings, portfolio performance, leverage policy, acquisition and capital expenditure plans, capital recycling program, returns on invested capital, supply and demand for data center capacity, capitalization rates, rents to be received in future periods and expected rental rates on new or renewed data center capacity contain forward-looking statements. Likewise, all of our statements regarding anticipated market conditions and results of operations are forward-looking statements. You can identify forward-looking statements by the use of forward-looking terminology such as “believes,” “expects,” “may,” “will,” “should,” “seeks,” “approximately,” “intends,” “plans,” “pro forma,” “estimates” or “anticipates” or the negative of these words and phrases or similar words or phrases which are predictions of or indicate future events or trends which do not relate solely to historical matters. You can also identify forward-looking statements by discussions of strategy, plans or intentions.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involve numerous risks and uncertainties, and you should not rely on them as predictions of future events. Forward-looking statements depend on assumptions, data or methods that may be incorrect or imprecise and that we may not be able to realize.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demand for data centers or decreases in information technology spending;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rental rates, increased operating costs or increased vacancy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competition or available supply of data center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suitability of our data centers and data center infrastructure, delays or disruptions in connectivity or availability of power, or failures or breaches of our physical and information security infrastructure 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breaches of our obligations or restrictions under our contracts with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successfully develop and lease new properties and development capacity, and delays or unexpected costs in development of properties;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current global and local economic, credit and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tariffs;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global supply chain or procurement disruptions, or increased supply chain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from periods of heightened inflation on our costs, such as operating and general and administrative expenses, interest expense and real estate acquisition and construction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on our customers’ and our suppliers’ operations during an epidemic, pandemic, or other global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upon significant customers, bankruptcy or insolvency of a major customer or a significant number of smaller customers, or defaults on or non-renewal of leases by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political conditions, geopolitical turmoil, political instability, civil disturbances, restrictive governmental actions or nationalization in the countries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retain data center capacity that we lease or sublease from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security, cyberattacks, security breaches and data privacy breaches;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managing an international business and acquiring or operating properties in foreign jurisdictions and unfamiliar metropolitan areas;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realize the intended benefits from, or disruptions to our plans and operations or unknown or contingent liabilities related to, our recent and future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successfully integrate and operate acquired or developed properties or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identifying properties to acquire and completing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joint venture investments, including as a result of our lack of control of such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using debt to fund our business activities, including re-financing and interest rate risks, our failure to repay debt when due, adverse changes in our credit ratings or our breach of covenants or other terms contained in our loan facilities and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obtain necessary debt and equity financing, and our dependence on external sources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market fluctuations and changes in foreign currency exchange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economic or real estate developments in our industry or the industry sectors that we sell to, including risks relating to decreasing real estate valuations and impairment charges and goodwill and other intangible asset impairment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manage our growth effectively;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losses in excess of our insurance coverage;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attract and retain talent;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liabilities, risks related to natural disasters and our inability to achieve our sustainability goals;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operating performance of anticipated near-term acquisitions and descriptions relating to these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comply with rules and regulations applicable to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Digital Realty Trust, Inc.’s failure to maintain its status as a REIT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Digital Realty Trust, L.P.’s failure to qualify as a partnership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our ability to engage in certain business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local, state, federal and international laws and regulations, including related to taxation, real estate and zoning laws, and increases in real property tax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financial, accounting, legal or regulatory issues or litigation that may affect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those additional risks and factors discussed in reports filed with the SEC by us from time to time, including those discussed under the heading “Risk Factors” in our most recently filed reports on Forms 10-K and 10-Q.</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forward-looking statements reflect our good faith beliefs, they are not guarantees of future performance. We disclaim any obligation to publicly update or revise any forward-looking statement to reflect changes in underlying assumptions or factors, new information, data or methods, future events or other changes. The risks included here are not exhaustive, and additional factors could adversely affect our business and financial performance, including factors and risks included in other sections of this prospectus supplement, the accompanying prospectus or the documents incorporated by reference herein or therein. Moreover, we operate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very competitive and rapidly changing environment. New risk factors emerge from time to time and it is not possible for management to identify all such risk factors, nor can we assess the impact of all such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For a further discussion of these and other factors that could impact our future results, performance or transactions, see the section entitled “Risk Factors” in this prospectus supplement, in the accompanying prospectus and in our most recently filed Combined Annual Report on Form 10-K, as may be updated by subsequent filings with the SEC that are incorporated by reference in this prospectus supplement and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rom914399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You should read the following summary together with the more detailed information regarding our company and the financial statements appearing elsewhere in this prospectus supplement and the accompanying prospectus or incorporated by reference in this prospectus supplement and the accompanying prospectus, including under the caption “Risk Factors.” </w:t>
      </w:r>
    </w:p>
    <w:p>
      <w:pPr>
        <w:pStyle w:val="TextBody"/>
        <w:bidi w:val="0"/>
        <w:spacing w:before="480" w:after="0"/>
        <w:jc w:val="center"/>
        <w:rPr>
          <w:rFonts w:ascii="Times New Roman" w:hAnsi="Times New Roman"/>
          <w:b/>
          <w:sz w:val="20"/>
          <w:bdr w:val="single" w:sz="8" w:space="1" w:color="000000"/>
        </w:rPr>
      </w:pPr>
      <w:bookmarkStart w:id="6" w:name="supprom914399_4"/>
      <w:bookmarkEnd w:id="6"/>
      <w:r>
        <w:rPr>
          <w:rFonts w:ascii="Times New Roman" w:hAnsi="Times New Roman"/>
          <w:b/>
          <w:sz w:val="20"/>
          <w:bdr w:val="single" w:sz="8" w:space="1" w:color="000000"/>
        </w:rPr>
        <w:t xml:space="preserve">THE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Digital Realty Trust, Inc., through its controlling interest in Digital Realty Trust, L.P. and its subsidiaries, is a leading global provider of data center, colocation and interconnection solutions for customers across a variety of industry verticals. Digital Realty Trust, L.P., a Maryland limited partnership, is the entity through which Digital Realty Trust, Inc., a Maryland corporation, conducts its business of owning, acquiring, developing and operating data centers. Digital Realty Trust, Inc. operates as a REIT for federal income tax purposes, and our operating partnership is the entity through which we conduct our business and own our assets.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Digital Realty Trust, Inc. was incorporated in the state of Maryland on March 9, 2004. Digital Realty Trust, L.P. was organized in the state of Maryland on July 21, 2004. Our principal executive offices are located at 601 West 2nd Street, Floor 32, Austin, Texas 78701. Our telephone number is (737) 281-0101. Our website is www.digitalrealty.com. The information found on, or otherwise accessible through, our website is not incorporated into, and does not form a part of, this prospectus supplement, the accompanying prospectus or any other report or document we file with or furnish to the SEC.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ABOUT THIS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prospectus supplement relates to the potential resale from time to time of some or all of 696,060 shares of our common stock received by the selling stockholders in connection with the closing of our acquisition on August 18, 2026 of Columbia Capital (the “Columbia Capital Acquisition”). We are registering the securities pursuant to our obligations under that certain Registration Rights Agreement (the “Columbia Capital Registration Rights Agreement”), dated as of August 18, 2026, between us and the selling stockholders. Under the Columbia Capital Registration Rights Agreement, upon the attainment of additional post-closing performance targets, we may be obligated to register 437,252 additional shares of common stock for resale by the selling stockholders in the future. If such performance targets are attained, we may amend or supplement this prospectus supplement or file a new prospectus supplement registering the additional shares of common stock for resale if required by the Columbia Capital Registration Rights Agreement at that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rom914399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risks. You should consider carefully all of the material risks discussed in the documents incorporated by reference in this prospectus supplement and the accompanying prospectus, including the risk factors set forth in the company’s and the operating partnership’s most recent combined Annual Report on Form 10-K and any subsequent Quarterly Reports on Form 10-Q or Current Reports on Form 8-K we file after the date of this prospectus supplement, and the other information contained or incorporated by reference in this prospectus supplement or the accompanying prospectus, in evaluating our company, our properties and our business before making a decision to invest in our common stock. These risks are not the only ones faced by us. Additional risks not presently known to us or that we currently deem immaterial could also materially and adversely affect our financial condition, results of operations, business and prospects. The trading price of our common stock could decline due to any of these risks, and you may lose all or part of your investment. For more information, see the sections entitled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also contain or incorporate by reference forward-looking statements that involve risks and uncertainties. Actual results could differ materially from those anticipated by the forward-looking statements as a result of specific factors, including the risks discussed in the documents incorporated by reference in this prospectus supplement and the accompanying prospectus. Please refer to the section entitled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914399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will receive all of the net proceeds from the sale of shares of our common stock under this prospectus supplement. We will not receive any proceeds from the sale of shares of our common stock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914399_7"/>
      <w:bookmarkEnd w:id="9"/>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 resale of up to 696,060 shares of common stock covered by this prospectus supplement to allow the selling stockholders or their transferees, donees, pledges, assignees or other successors-in-interest to sell or otherwise dispose of, from time to time, such shares of common stock currently owned by the selling stockholders. Unless otherwise noted below, the shares being offered were received by the selling stockholders in connection with the Columbia Capital Acquisition. We are registering the resale of the shares of common stock covered by this prospectus supplement pursuant to our obligations under the Columbia Capital Registration Rights Agreement. The selling stockholders were issued additional shares of common stock in connection with the Columbia Capital Acquisition that are not being registered hereunder and are subject to various lock-up arrangements. Moreover, upon the attainment of additional post-closing performance targets, we may issue additional shares of common stock to the selling stockholders. A portion of such additional shares will be registered by us once earned and issued, and the remainder will not be registered and will be subject to various lock-up arrangements. In the event the selling stockholders sell any unregistered shares following the expiration of such lock-up periods, such sales will be made pursuant to an exemption from the registration requirements of the Securities Act, or such shares will be registered by us prior to the time of sale. </w:t>
      </w:r>
    </w:p>
    <w:p>
      <w:pPr>
        <w:pStyle w:val="TextBody"/>
        <w:bidi w:val="0"/>
        <w:spacing w:before="240" w:after="0"/>
        <w:jc w:val="left"/>
        <w:rPr>
          <w:rFonts w:ascii="Times New Roman" w:hAnsi="Times New Roman"/>
          <w:sz w:val="20"/>
        </w:rPr>
      </w:pPr>
      <w:r>
        <w:rPr>
          <w:rFonts w:ascii="Times New Roman" w:hAnsi="Times New Roman"/>
          <w:sz w:val="20"/>
        </w:rPr>
        <w:t xml:space="preserve">We will pay certain expenses of the registration of the shares offered hereby, including the SEC filing fees. In addition, pursuant to the Columbia Capital Registration Rights Agreement, we have agreed to indemnify the selling stockholders and certain of their affiliates against certain liabilities in connection with the offering of the shares. </w:t>
      </w:r>
    </w:p>
    <w:p>
      <w:pPr>
        <w:pStyle w:val="TextBody"/>
        <w:bidi w:val="0"/>
        <w:spacing w:before="240" w:after="0"/>
        <w:jc w:val="left"/>
        <w:rPr>
          <w:rFonts w:ascii="Times New Roman" w:hAnsi="Times New Roman"/>
          <w:sz w:val="20"/>
        </w:rPr>
      </w:pPr>
      <w:r>
        <w:rPr>
          <w:rFonts w:ascii="Times New Roman" w:hAnsi="Times New Roman"/>
          <w:sz w:val="20"/>
        </w:rPr>
        <w:t xml:space="preserve">Because the selling stockholders may sell, transfer or otherwise dispose of all, some or none of the shares of our common stock covered by this prospectus supplement, we cannot determine the number of such shares that will be sold, transferred or otherwise disposed of by the selling stockholders, or the amount or percentage of shares of our common stock that will be held by the selling stockholders upon termination of any particular offering. See “Plan of Distribution.” For purposes of the table below, we assume the sale of all shares of common stock offered by the selling stockholders pursuant to this prospectus supplement. We may supplement or amend this prospectus supplement to include additional selling stockholders upon provision of all required information to us and subject to the terms of the Columbia Capital Registration Rights Agreement. None of the selling stockholders has held within the past three years, any position or office with us or any of our predecessors or affiliates, nor does any of the selling stockholders currently have, and has not had within the past three years, any other material relationship with us or any of our predecessors or affiliates except as a result of the Columbia Capital Acquisition. Following the Columbia Capital Acquisition, certain of the selling stockholders will remain employees of the company and intend to continue their employment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percentages of beneficial ownership prior to and following the offering set forth below are based on a total of 370,998,727 shares of our common stock outstanding as of August 17, 2026. We have determined beneficial ownership in accordance with the rules of the SEC. The information contained in the following table is not necessarily indicative of beneficial ownership for any other purpose, and the inclusion of any shares in the table does not constitute an admission of beneficial ownership of those shares. Unless otherwise indicated, the persons or entities identified in this table have sole voting and investment power with respect to all shares shown as beneficially owned by them, subject to applicable community property laws. </w:t>
      </w:r>
    </w:p>
    <w:p>
      <w:pPr>
        <w:pStyle w:val="TextBody"/>
        <w:bidi w:val="0"/>
        <w:spacing w:before="0" w:after="0"/>
        <w:jc w:val="left"/>
        <w:rPr/>
      </w:pPr>
      <w:r>
        <w:rPr/>
        <w:t> </w:t>
      </w:r>
    </w:p>
    <w:tbl>
      <w:tblPr>
        <w:tblW w:w="10831" w:type="dxa"/>
        <w:jc w:val="center"/>
        <w:tblInd w:w="0" w:type="dxa"/>
        <w:tblLayout w:type="fixed"/>
        <w:tblCellMar>
          <w:top w:w="0" w:type="dxa"/>
          <w:left w:w="0" w:type="dxa"/>
          <w:bottom w:w="0" w:type="dxa"/>
          <w:right w:w="0" w:type="dxa"/>
        </w:tblCellMar>
      </w:tblPr>
      <w:tblGrid>
        <w:gridCol w:w="2075"/>
        <w:gridCol w:w="120"/>
        <w:gridCol w:w="132"/>
        <w:gridCol w:w="1764"/>
        <w:gridCol w:w="132"/>
        <w:gridCol w:w="264"/>
        <w:gridCol w:w="341"/>
        <w:gridCol w:w="804"/>
        <w:gridCol w:w="60"/>
        <w:gridCol w:w="120"/>
        <w:gridCol w:w="94"/>
        <w:gridCol w:w="1261"/>
        <w:gridCol w:w="60"/>
        <w:gridCol w:w="120"/>
        <w:gridCol w:w="131"/>
        <w:gridCol w:w="1754"/>
        <w:gridCol w:w="131"/>
        <w:gridCol w:w="263"/>
        <w:gridCol w:w="340"/>
        <w:gridCol w:w="805"/>
        <w:gridCol w:w="60"/>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br/>
              <w:t>Prior to Offering</w:t>
            </w:r>
          </w:p>
        </w:tc>
        <w:tc>
          <w:tcPr>
            <w:tcW w:w="60" w:type="dxa"/>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35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 Being</w:t>
              <w:br/>
              <w:t>Offered(1)</w:t>
            </w:r>
          </w:p>
        </w:tc>
        <w:tc>
          <w:tcPr>
            <w:tcW w:w="60" w:type="dxa"/>
            <w:vMerge w:val="restart"/>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2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w:t>
              <w:br/>
              <w:t>Owned After the Offering(2)</w:t>
            </w:r>
          </w:p>
        </w:tc>
        <w:tc>
          <w:tcPr>
            <w:tcW w:w="60"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120" w:type="dxa"/>
            <w:tcBorders/>
            <w:vAlign w:val="bottom"/>
          </w:tcPr>
          <w:p>
            <w:pPr>
              <w:pStyle w:val="TableContents"/>
              <w:bidi w:val="0"/>
              <w:spacing w:before="0" w:after="283"/>
              <w:jc w:val="left"/>
              <w:rPr/>
            </w:pPr>
            <w:r>
              <w:rPr/>
              <w:t>  </w:t>
            </w:r>
          </w:p>
        </w:tc>
        <w:tc>
          <w:tcPr>
            <w:tcW w:w="1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32"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0" w:type="dxa"/>
            <w:tcBorders/>
            <w:vAlign w:val="bottom"/>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135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31"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Donald A. Doering Revocable Trust(3)</w:t>
            </w:r>
          </w:p>
        </w:tc>
        <w:tc>
          <w:tcPr>
            <w:tcW w:w="1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48,974</w:t>
            </w:r>
          </w:p>
        </w:tc>
        <w:tc>
          <w:tcPr>
            <w:tcW w:w="132"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14,692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pPr>
            <w:r>
              <w:rPr/>
              <w:t>34,282</w:t>
            </w:r>
          </w:p>
        </w:tc>
        <w:tc>
          <w:tcPr>
            <w:tcW w:w="131"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James B. Fleming, Jr.</w:t>
            </w:r>
          </w:p>
        </w:tc>
        <w:tc>
          <w:tcPr>
            <w:tcW w:w="1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568,395</w:t>
            </w:r>
          </w:p>
        </w:tc>
        <w:tc>
          <w:tcPr>
            <w:tcW w:w="132"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170,519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397,876</w:t>
            </w:r>
          </w:p>
        </w:tc>
        <w:tc>
          <w:tcPr>
            <w:tcW w:w="131"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Jason R. Booma</w:t>
            </w:r>
          </w:p>
        </w:tc>
        <w:tc>
          <w:tcPr>
            <w:tcW w:w="1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396,914</w:t>
            </w:r>
          </w:p>
        </w:tc>
        <w:tc>
          <w:tcPr>
            <w:tcW w:w="132"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119,074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pPr>
            <w:r>
              <w:rPr/>
              <w:t>277,840</w:t>
            </w:r>
          </w:p>
        </w:tc>
        <w:tc>
          <w:tcPr>
            <w:tcW w:w="131"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John T. Siegel, Jr.</w:t>
            </w:r>
          </w:p>
        </w:tc>
        <w:tc>
          <w:tcPr>
            <w:tcW w:w="1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447,284</w:t>
            </w:r>
          </w:p>
        </w:tc>
        <w:tc>
          <w:tcPr>
            <w:tcW w:w="132"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134,185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313,099</w:t>
            </w:r>
          </w:p>
        </w:tc>
        <w:tc>
          <w:tcPr>
            <w:tcW w:w="131"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Monish Kundra</w:t>
            </w:r>
          </w:p>
        </w:tc>
        <w:tc>
          <w:tcPr>
            <w:tcW w:w="1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448,747</w:t>
            </w:r>
          </w:p>
        </w:tc>
        <w:tc>
          <w:tcPr>
            <w:tcW w:w="132"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134,624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pPr>
            <w:r>
              <w:rPr/>
              <w:t>314,123</w:t>
            </w:r>
          </w:p>
        </w:tc>
        <w:tc>
          <w:tcPr>
            <w:tcW w:w="131"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Patrick B. Hendy</w:t>
            </w:r>
          </w:p>
        </w:tc>
        <w:tc>
          <w:tcPr>
            <w:tcW w:w="1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409,886</w:t>
            </w:r>
          </w:p>
        </w:tc>
        <w:tc>
          <w:tcPr>
            <w:tcW w:w="132"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122,966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286,920</w:t>
            </w:r>
          </w:p>
        </w:tc>
        <w:tc>
          <w:tcPr>
            <w:tcW w:w="131"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number of shares of common stock being registered on behalf of each selling stockholder pursuant to this prospectus supplement. The amounts set forth in this column do not include any other shares of common stock that each selling stockholder may own beneficially or otherwise.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Assumes that the selling stockholders dispose of all of the shares of common stock covered by this prospectus supplement and do not acquire beneficial ownership of any additional shares.</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are held by the Donald A. Doering Revocable Trust. Donald A. Doering is the sole trustee of the Donald A. Doering Revocable Trust and has sole voting and dispositive power with respect to the shares held by the trust.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914399_8"/>
      <w:bookmarkEnd w:id="1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or their pledgees, donees, transferees, or any of their successors in interest selling the securities received from a named selling stockholder after the date of this prospectus supplement (all of whom may be selling stockholders), may sell the securities from time to time on any stock exchange or automated interdealer quotation system on which the securities are traded, in the over-the-counter market, in privately negotiated transactions or otherwise, at fixed prices that may be changed, at market prices prevailing at the time of sale, at prices related to prevailing market prices or at prices otherwise negotiated. The selling stockholders may sell the securities by one or more of the following methods,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 or dealer so engaged will attempt to sell the securities as agent but may position and resell a portion of the block as principal to facilitate the transaction, or in crosses in which the same broker acts as agent on both sides;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 or dealer as principal and resale by the broker or dealer for its own account pursuant to this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of options on the securities, swaps or other derivatives, whether or not the options or such instruments are listed on an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upon our prior consent, one or more underwritten offerings on a firm commitment or best efforts basis or other purchases by underwriters, brokers, dealers, and agents who may receive compensation in the form of underwriting discounts, concessions or commissions from the selling stockholders and/or the purchasers of the securities for whom they may act as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pledges of the securities as security for any loan or obligation, including pledges to brokers or dealers who may from time to time effect distributions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in other ways not involving market makers or established trading markets, including direct sales to institutions or individual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foregoing methods or by any other legally available means.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also transfer the securities by gift. We do not know of any arrangements by the selling stockholders for the sale of any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With our prior consent, the selling stockholders may engage underwriters, brokers or dealers, and any underwriters, brokers or dealers may arrange for other underwriters, brokers or dealers to participate in effecting sales of the securities. These brokers, dealers or underwriters may act as principals, or as an agent of a selling stockholder. Broker-dealers may agree with a selling stockholder to sell a specified number of the securities at a stipulated price per security. If the broker-dealer is unable to sell securities acting as agent for a selling stockholder, it may purchase as principal any unsold securities at the stipulated price. Broker-dealers who acquire securities as principals may thereafter resell the securities from time to time in transactions in any stock exchange or automated interdealer quotation system on which the securities are then listed or in over-the-counter market, at prices and on terms then prevailing at the time of sale, at prices related to the then-current market price or in negotiated transactions. Broker-dealers may use block transactions and sales to and through broker-dealers, including transactions of the nature described above. The selling stockholders may also sell the securities in accordance with Rule 144 under the Securities Act, or in accordance with Section 4(a)(1) of the Securities Act, rather than pursuant to this prospectus supplement, regardless of whether the securities are covered by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time to time, one or more of the selling stockholders may pledge, hypothecate or grant a security interest in some or all of the securities owned by them. The pledgees, secured parties or persons to whom the securities have been so pledged or hypothecated (or otherwise subject to a security interest) will, upon foreclosure in the event of default, be deemed to be selling stockholders. The plan of distribution for those selling stockholders’ securities will otherwise remain unchanged. The selling stockholders (or their pledgees, donees, transferees or other successors in interest) also may transfer and donate the securities in other circumstances in which case the transferees, donees, pledgees or other successors in interest thereof will be the selling stockholders for purposes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selling stockholders may, from time to time, sell the securities short, and, in those instances, this prospectus supplement may be delivered in connection with the short sales and the securities offered under this prospectus supplement may be used to cover short sales.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under the Securities Act, the aggregate amount of selling stockholders’ securities being offered and the terms of the offering, the names of any agents, brokers, dealers or underwriters and any applicable commission with respect to a particular offer will be set forth in an additional prospectus supplement. Any underwriters, dealers, brokers or agents participating in the distribution of the securities may receive compensation in the form of underwriting discounts, concessions, commissions or fees from a selling stockholder and/or purchasers of selling stockholders’ securities, for whom they may act (which compensation as to a particular broker-dealer might be in excess of customary commissions).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brokers, dealers or agents that participate in the distribution of the securities may be deemed to be “underwriters” within the meaning of the Securities Act, and any discounts, concessions, commissions or fees received by them and any profit on the resale of the securities sold by them may be deemed to be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enter into hedging transactions with broker-dealers and the broker-dealers may engage in short sales of the securities in the course of hedging the positions they assume with that selling stockholder, including, without limitation, in connection with distributions of the securities by those broker-dealers. The selling stockholders may enter into options or other transactions with broker-dealers that involve the delivery of the securities offered hereby to the broker-dealers, who may then resell or otherwise transfer those securities. The selling stockholders may also loan or pledge the securities offered hereby to a broker-dealer and the broker-dealer may sell the securities offered hereby so loaned or upon a default may sell or otherwise transfer the pledged securities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other persons participating in the sale or distribution of the securities will be subject to applicable provisions of the Exchange Act, and the rules and regulations thereunder, including Regulation M. This regulation may limit the timing of purchases and sales of any of the securities by the selling stockholders and any other person. The anti-manipulation rules under the Exchange Act may apply to sales of securities in the market and to the activities of the selling stockholders and their affiliates. Furthermore, Regulation M may restrict the ability of any person engaged in the distribution of the securities to engage in market-making activities with respect to the particular securities being distributed for a period of up to five business days before the distribution. These restrictions may affect the marketability of the securities and the ability of any person or entity to engage in market-making activities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in certain circumstances the selling stockholders and any brokers, dealers and agents who may be deemed to be underwriters, if any, of the securities covered by the registration statement, against certain liabilities, including liabilities under the Securities Act. The selling stockholders have agreed to indemnify us in certain circumstances against certain liabilities, including liabilities under the Securities Act. In addition, the selling stockholders may agree to indemnify any underwriter, broker-dealer or agent against certain liabilities related to the selling of the securities, including liabilities arising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securities offered hereby were originally issued, or will be issued, to the selling stockholders pursuant to an exemption from the registration requirements of the Securities Act. We are registering the resale of the securities offered hereby pursuant to our obligations contained in the Columbia Capital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sales of any securities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 selling stockholders will sell all or any portion of the securities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permitted by applicable law, this plan of distribution may be modified in an additional prospectus supplement or otherwise. All of the foregoing may affect the marketability of the securities offered hereby. This offering will terminate on the date that all securities offered by this prospectus supplement have been sold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914399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Venable LLP, Baltimore, Maryland, will issue an opinion to us regarding certain matters of Maryland law, including the validity of the common stock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rom914399_10"/>
      <w:bookmarkEnd w:id="1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Digital Realty Trust, Inc. and its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Digital Realty Trust, L.P. and its subsidiaries as of December 31, 2025 and 2024, and for each of the years in the three-year period ended December 31, 2025, have been incorporated by reference herein in reliance upon the report of KPMG LLP, independent registered public accounting firm, incorporated by reference herein, and upon the authority of said firm as experts in accounting and auditing. </w:t>
      </w:r>
    </w:p>
    <w:p>
      <w:pPr>
        <w:pStyle w:val="TextBody"/>
        <w:bidi w:val="0"/>
        <w:spacing w:before="480" w:after="0"/>
        <w:jc w:val="center"/>
        <w:rPr>
          <w:rFonts w:ascii="Times New Roman" w:hAnsi="Times New Roman"/>
          <w:b/>
          <w:sz w:val="20"/>
        </w:rPr>
      </w:pPr>
      <w:bookmarkStart w:id="13" w:name="supprom914399_11"/>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special reports, proxy statements and other information with the SEC. The SEC maintains a web site that contains reports, proxy and information statements, and other information regarding registrants that file electronically with the SEC at www.sec.gov. In addition, we maintain a web site that contains information about us at www.digitalrealty.com. The information found on, or otherwise accessible through, our website is not incorporated into, and does not form a part of, this prospectus supplement, the accompanying prospectus or any other report or document we file with or furnish to the SEC.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S-3 (File Nos. 333-293494 and 333-293494-01), of which this prospectus supplement and the accompanying prospectus are a part, including exhibits, schedules and amendments filed with, or incorporated by reference in, such registration statement, under the Securities Act. This prospectus supplement and the accompanying prospectus do not contain all of the information set forth in the registration statement and exhibits and schedules to the registration statement. For further information with respect to our company, reference is made to the registration statement, including the exhibits to the registration statement. Statements contained in this prospectus supplement and the accompanying prospectus as to the contents of any contract or other document referred to, or incorporated by reference, in this prospectus supplement and the accompanying prospectus are not necessarily complete and, where that contract or document is an exhibit to the registration statement, each statement is qualified in all respects by the exhibit to which the reference relates. The registration statement, including the exhibits and schedules to the registration statement, is available to you on the SEC’s web site at www.sec.gov.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rom914399_12"/>
      <w:bookmarkEnd w:id="14"/>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certain information we file with the SEC, which means that we can disclose important information to you by referring you to those documents instead of having to repeat the information in this prospectus supplement. The information incorporated by reference is considered to be part of this prospectus supplement and the accompanying prospectus, and later information that we file with the SEC will automatically update and supersede this information. We incorporate by reference into this prospectus supplement and the accompanying prospectus the following documents (except for any document or portion thereof deemed to be “furnished” and not filed in accordance with SEC rules and regulations):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Combined Annual Report on </w:t>
            </w:r>
            <w:hyperlink r:id="rId3">
              <w:r>
                <w:rPr>
                  <w:rStyle w:val="InternetLink"/>
                  <w:rFonts w:ascii="Times New Roman" w:hAnsi="Times New Roman"/>
                  <w:sz w:val="20"/>
                </w:rPr>
                <w:t>Form 10-K</w:t>
              </w:r>
            </w:hyperlink>
            <w:r>
              <w:rPr>
                <w:rFonts w:ascii="Times New Roman" w:hAnsi="Times New Roman"/>
                <w:sz w:val="20"/>
              </w:rPr>
              <w:t xml:space="preserve"> of Digital Realty Trust, Inc. and Digital Realty Trust, L.P.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4">
              <w:r>
                <w:rPr>
                  <w:rStyle w:val="InternetLink"/>
                  <w:rFonts w:ascii="Times New Roman" w:hAnsi="Times New Roman"/>
                  <w:sz w:val="20"/>
                </w:rPr>
                <w:t>Form 10-K</w:t>
              </w:r>
            </w:hyperlink>
            <w:r>
              <w:rPr>
                <w:rFonts w:ascii="Times New Roman" w:hAnsi="Times New Roman"/>
                <w:sz w:val="20"/>
              </w:rPr>
              <w:t xml:space="preserve"> for the year ended December  31, 2025 from the Definitive Proxy Statement on </w:t>
            </w:r>
            <w:hyperlink r:id="rId5">
              <w:r>
                <w:rPr>
                  <w:rStyle w:val="InternetLink"/>
                  <w:rFonts w:ascii="Times New Roman" w:hAnsi="Times New Roman"/>
                  <w:sz w:val="20"/>
                </w:rPr>
                <w:t>Schedule 14A</w:t>
              </w:r>
            </w:hyperlink>
            <w:r>
              <w:rPr>
                <w:rFonts w:ascii="Times New Roman" w:hAnsi="Times New Roman"/>
                <w:sz w:val="20"/>
              </w:rPr>
              <w:t xml:space="preserve"> of Digital Realty Trust, Inc. filed with the SEC on April 17,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Combined Quarterly Reports on Form 10-Q of Digital Realty Trust, Inc. and Digital Realty Trust, L.P. for the quarters ended </w:t>
            </w:r>
            <w:hyperlink r:id="rId6">
              <w:r>
                <w:rPr>
                  <w:rStyle w:val="InternetLink"/>
                  <w:rFonts w:ascii="Times New Roman" w:hAnsi="Times New Roman"/>
                  <w:sz w:val="20"/>
                </w:rPr>
                <w:t>March  31, 2026</w:t>
              </w:r>
            </w:hyperlink>
            <w:r>
              <w:rPr>
                <w:rFonts w:ascii="Times New Roman" w:hAnsi="Times New Roman"/>
                <w:sz w:val="20"/>
              </w:rPr>
              <w:t xml:space="preserve"> and </w:t>
            </w:r>
            <w:hyperlink r:id="rId7">
              <w:r>
                <w:rPr>
                  <w:rStyle w:val="InternetLink"/>
                  <w:rFonts w:ascii="Times New Roman" w:hAnsi="Times New Roman"/>
                  <w:sz w:val="20"/>
                </w:rPr>
                <w:t>June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Combined Current Reports on Form 8-K of Digital Realty Trust, Inc. and Digital Realty Trust, L.P. filed with the SEC on </w:t>
            </w:r>
            <w:hyperlink r:id="rId8">
              <w:r>
                <w:rPr>
                  <w:rStyle w:val="InternetLink"/>
                  <w:rFonts w:ascii="Times New Roman" w:hAnsi="Times New Roman"/>
                  <w:sz w:val="20"/>
                </w:rPr>
                <w:t>February  17, 2026</w:t>
              </w:r>
            </w:hyperlink>
            <w:r>
              <w:rPr>
                <w:rFonts w:ascii="Times New Roman" w:hAnsi="Times New Roman"/>
                <w:sz w:val="20"/>
              </w:rPr>
              <w:t xml:space="preserve">, </w:t>
            </w:r>
            <w:hyperlink r:id="rId9">
              <w:r>
                <w:rPr>
                  <w:rStyle w:val="InternetLink"/>
                  <w:rFonts w:ascii="Times New Roman" w:hAnsi="Times New Roman"/>
                  <w:sz w:val="20"/>
                </w:rPr>
                <w:t>May  4, 2026</w:t>
              </w:r>
            </w:hyperlink>
            <w:r>
              <w:rPr>
                <w:rFonts w:ascii="Times New Roman" w:hAnsi="Times New Roman"/>
                <w:sz w:val="20"/>
              </w:rPr>
              <w:t xml:space="preserve">, </w:t>
            </w:r>
            <w:hyperlink r:id="rId10">
              <w:r>
                <w:rPr>
                  <w:rStyle w:val="InternetLink"/>
                  <w:rFonts w:ascii="Times New Roman" w:hAnsi="Times New Roman"/>
                  <w:sz w:val="20"/>
                </w:rPr>
                <w:t>June  22, 2026</w:t>
              </w:r>
            </w:hyperlink>
            <w:r>
              <w:rPr>
                <w:rFonts w:ascii="Times New Roman" w:hAnsi="Times New Roman"/>
                <w:sz w:val="20"/>
              </w:rPr>
              <w:t xml:space="preserve"> (excluding Item 7.01), </w:t>
            </w:r>
            <w:hyperlink r:id="rId11">
              <w:r>
                <w:rPr>
                  <w:rStyle w:val="InternetLink"/>
                  <w:rFonts w:ascii="Times New Roman" w:hAnsi="Times New Roman"/>
                  <w:sz w:val="20"/>
                </w:rPr>
                <w:t>June 29,  2026</w:t>
              </w:r>
            </w:hyperlink>
            <w:r>
              <w:rPr>
                <w:rFonts w:ascii="Times New Roman" w:hAnsi="Times New Roman"/>
                <w:sz w:val="20"/>
              </w:rPr>
              <w:t xml:space="preserve"> (excluding Item 7.01), and </w:t>
            </w:r>
            <w:hyperlink r:id="rId12">
              <w:r>
                <w:rPr>
                  <w:rStyle w:val="InternetLink"/>
                  <w:rFonts w:ascii="Times New Roman" w:hAnsi="Times New Roman"/>
                  <w:sz w:val="20"/>
                </w:rPr>
                <w:t>July 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Current Report on Form 8-K of Digital Realty Trust, Inc. filed with the SEC on </w:t>
            </w:r>
            <w:hyperlink r:id="rId13">
              <w:r>
                <w:rPr>
                  <w:rStyle w:val="InternetLink"/>
                  <w:rFonts w:ascii="Times New Roman" w:hAnsi="Times New Roman"/>
                  <w:sz w:val="20"/>
                </w:rPr>
                <w:t>June 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Digital Realty Trust, Inc.’s common stock, par value $0.01 per share, contained in Digital Realty Trust, Inc.’s Registration Statement on </w:t>
            </w:r>
            <w:hyperlink r:id="rId14">
              <w:r>
                <w:rPr>
                  <w:rStyle w:val="InternetLink"/>
                  <w:rFonts w:ascii="Times New Roman" w:hAnsi="Times New Roman"/>
                  <w:sz w:val="20"/>
                </w:rPr>
                <w:t>Form 8-A</w:t>
              </w:r>
            </w:hyperlink>
            <w:r>
              <w:rPr>
                <w:rFonts w:ascii="Times New Roman" w:hAnsi="Times New Roman"/>
                <w:sz w:val="20"/>
              </w:rPr>
              <w:t xml:space="preserve"> filed with the SEC on October 28, 2004 (file number 001-32336), including any amendment or reports filed for the purpose of updating this description;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us with the SEC pursuant to Sections 13(a), 13(c), 14 or 15(d) of the Exchange Act after the date of this prospectus supplement and prior to the termination of this offering (excluding any portions of such documents that are deemed “furnished” to the SEC pursuant to applicable rules and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to whom a prospectus supplement is delivered, on written or oral request of that person, a copy of any or all of the documents we are incorporating by reference into this prospectus supplement, other than exhibits to those documents unless those exhibits are specifically incorporated by reference into those documents. A written request should be addressed to Investor Relations, Digital Realty Trust, Inc., 601 West 2nd Street, Floor 32, Austin, Texas 78701.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16"/>
        </w:rPr>
      </w:pPr>
      <w:r>
        <w:rPr>
          <w:rFonts w:ascii="Times New Roman" w:hAnsi="Times New Roman"/>
          <w:b/>
          <w:sz w:val="16"/>
        </w:rPr>
        <w:t xml:space="preserve">PROSPECTUS </w:t>
      </w:r>
    </w:p>
    <w:p>
      <w:pPr>
        <w:pStyle w:val="TextBody"/>
        <w:bidi w:val="0"/>
        <w:spacing w:before="120" w:after="0"/>
        <w:jc w:val="center"/>
        <w:rPr>
          <w:rFonts w:ascii="Times New Roman" w:hAnsi="Times New Roman"/>
          <w:b/>
          <w:sz w:val="46"/>
        </w:rPr>
      </w:pPr>
      <w:r>
        <w:rPr>
          <w:rFonts w:ascii="Times New Roman" w:hAnsi="Times New Roman"/>
          <w:b/>
          <w:sz w:val="46"/>
        </w:rPr>
        <w:t xml:space="preserve">Digital Realty Trust, Inc. </w:t>
      </w:r>
    </w:p>
    <w:p>
      <w:pPr>
        <w:pStyle w:val="TextBody"/>
        <w:bidi w:val="0"/>
        <w:spacing w:before="160" w:after="0"/>
        <w:jc w:val="center"/>
        <w:rPr>
          <w:rFonts w:ascii="Times New Roman" w:hAnsi="Times New Roman"/>
          <w:b/>
          <w:sz w:val="34"/>
        </w:rPr>
      </w:pPr>
      <w:r>
        <w:rPr>
          <w:rFonts w:ascii="Times New Roman" w:hAnsi="Times New Roman"/>
          <w:b/>
          <w:sz w:val="34"/>
        </w:rPr>
        <w:t xml:space="preserve">Common Stock, Preferred Stock, Depositary Shares, Warrants and Guarantees </w:t>
      </w:r>
    </w:p>
    <w:p>
      <w:pPr>
        <w:pStyle w:val="TextBody"/>
        <w:bidi w:val="0"/>
        <w:spacing w:before="160" w:after="0"/>
        <w:jc w:val="center"/>
        <w:rPr>
          <w:rFonts w:ascii="Times New Roman" w:hAnsi="Times New Roman"/>
          <w:b/>
          <w:sz w:val="46"/>
        </w:rPr>
      </w:pPr>
      <w:r>
        <w:rPr>
          <w:rFonts w:ascii="Times New Roman" w:hAnsi="Times New Roman"/>
          <w:b/>
          <w:sz w:val="46"/>
        </w:rPr>
        <w:t xml:space="preserve">Digital Realty Trust, L.P. </w:t>
      </w:r>
    </w:p>
    <w:p>
      <w:pPr>
        <w:pStyle w:val="TextBody"/>
        <w:bidi w:val="0"/>
        <w:spacing w:before="160" w:after="0"/>
        <w:jc w:val="center"/>
        <w:rPr>
          <w:rFonts w:ascii="Times New Roman" w:hAnsi="Times New Roman"/>
          <w:b/>
          <w:sz w:val="26"/>
        </w:rPr>
      </w:pPr>
      <w:r>
        <w:rPr>
          <w:rFonts w:ascii="Times New Roman" w:hAnsi="Times New Roman"/>
          <w:b/>
          <w:sz w:val="26"/>
        </w:rPr>
        <w:t xml:space="preserve">Debt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8"/>
        </w:rPr>
      </w:pPr>
      <w:r>
        <w:rPr>
          <w:rFonts w:ascii="Times New Roman" w:hAnsi="Times New Roman"/>
          <w:sz w:val="18"/>
        </w:rPr>
        <w:t xml:space="preserve">We may from time to time offer, in one or more series or classes, separately or together, and in amounts, at prices and on terms to be set forth in one or more supplements to this prospectus, the following securities: (i) shares of Digital Realty Trust, Inc.’s common stock, par value $0.01 per share, (ii) shares of Digital Realty Trust, Inc.’s preferred stock, par value $0.01 per share, (iii) depositary shares representing entitlement to all rights and preferences of fractions of shares of Digital Realty Trust, Inc.’s preferred stock of a specified series and represented by depositary receipts, (iv) warrants to purchase shares of Digital Realty Trust, Inc.’s common stock or preferred stock or depositary shares and (v) debt securities of Digital Realty Trust, L.P., which may be fully and unconditionally guaranteed by Digital Realty Trust, Inc. </w:t>
      </w:r>
    </w:p>
    <w:p>
      <w:pPr>
        <w:pStyle w:val="TextBody"/>
        <w:bidi w:val="0"/>
        <w:spacing w:before="240" w:after="0"/>
        <w:jc w:val="left"/>
        <w:rPr>
          <w:rFonts w:ascii="Times New Roman" w:hAnsi="Times New Roman"/>
          <w:sz w:val="18"/>
        </w:rPr>
      </w:pPr>
      <w:r>
        <w:rPr>
          <w:rFonts w:ascii="Times New Roman" w:hAnsi="Times New Roman"/>
          <w:sz w:val="18"/>
        </w:rPr>
        <w:t xml:space="preserve">This prospectus also covers delayed delivery contracts that may be issued by Digital Realty Trust, Inc. or Digital Realty Trust, L.P. under which the counterparty may be required to purchase common stock, preferred stock, depositary shares or warrants to purchase common stock, preferred stock or depositary shares of Digital Realty Trust, Inc. or debt securities of Digital Realty Trust, L.P. (including guarantees of the debt securities by Digital Realty Trust, Inc.). Delayed delivery contracts may be issued together with the specific securities to which they relate. In addition, securities registered hereunder may be sold separately, together or as units with other securities registered hereunder. </w:t>
      </w:r>
    </w:p>
    <w:p>
      <w:pPr>
        <w:pStyle w:val="TextBody"/>
        <w:bidi w:val="0"/>
        <w:spacing w:before="240" w:after="0"/>
        <w:jc w:val="left"/>
        <w:rPr>
          <w:rFonts w:ascii="Times New Roman" w:hAnsi="Times New Roman"/>
          <w:sz w:val="18"/>
        </w:rPr>
      </w:pPr>
      <w:r>
        <w:rPr>
          <w:rFonts w:ascii="Times New Roman" w:hAnsi="Times New Roman"/>
          <w:sz w:val="18"/>
        </w:rPr>
        <w:t xml:space="preserve">We refer to the common stock, preferred stock, depositary shares, warrants and debt securities (together with any related guarantees) registered hereunder collectively as the “securities” in this prospectus. We will offer our securities in amounts, at prices and on terms determined at the time of the offering of any such security. </w:t>
      </w:r>
    </w:p>
    <w:p>
      <w:pPr>
        <w:pStyle w:val="TextBody"/>
        <w:bidi w:val="0"/>
        <w:spacing w:before="240" w:after="0"/>
        <w:jc w:val="left"/>
        <w:rPr>
          <w:rFonts w:ascii="Times New Roman" w:hAnsi="Times New Roman"/>
          <w:sz w:val="18"/>
        </w:rPr>
      </w:pPr>
      <w:r>
        <w:rPr>
          <w:rFonts w:ascii="Times New Roman" w:hAnsi="Times New Roman"/>
          <w:sz w:val="18"/>
        </w:rPr>
        <w:t xml:space="preserve">The specific terms of each series or class of the securities will be set forth in the applicable prospectus supplement and will include, as applicable: (i) in the case of common stock, any public offering price; (ii) in the case of preferred stock, the specific title and any dividend, liquidation, redemption, conversion, voting and other rights and any public offering price; (iii) in the case of depositary shares, the fractional share of preferred stock represented by each such depositary share; (iv) in the case of warrants, the duration, offering price, exercise price and detachability; and (v) in the case of debt securities and, as applicable, related guarantees, the specific terms of such debt securities and related guarantees. In addition, because Digital Realty Trust, Inc. is organized and conducts its operations so as to qualify as a real estate investment trust, or REIT, for U.S. federal income tax purposes, the specific terms of any securities may include limitations on actual or constructive ownership and restrictions on transfer of the securities, in each case as may be appropriate to preserve Digital Realty Trust, Inc.’s status as a REIT. </w:t>
      </w:r>
    </w:p>
    <w:p>
      <w:pPr>
        <w:pStyle w:val="TextBody"/>
        <w:bidi w:val="0"/>
        <w:spacing w:before="240" w:after="0"/>
        <w:jc w:val="left"/>
        <w:rPr>
          <w:rFonts w:ascii="Times New Roman" w:hAnsi="Times New Roman"/>
          <w:sz w:val="18"/>
        </w:rPr>
      </w:pPr>
      <w:r>
        <w:rPr>
          <w:rFonts w:ascii="Times New Roman" w:hAnsi="Times New Roman"/>
          <w:sz w:val="18"/>
        </w:rPr>
        <w:t xml:space="preserve">The securities may be offered directly by us, through agents designated from time to time by us, or to or through underwriters or dealers. These securities also may be offered by securityholders, if so provided in a prospectus supplement hereto. We will provide specific information about any selling securityholders in one or more supplements to this prospectus. If any agents, dealers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entitled “Plan of Distribution” and “About this Prospectus” for more information. No securities may be sold without delivery of this prospectus and the applicable prospectus supplement describing the method and terms of the offering of such series of securities. </w:t>
      </w:r>
    </w:p>
    <w:p>
      <w:pPr>
        <w:pStyle w:val="TextBody"/>
        <w:bidi w:val="0"/>
        <w:spacing w:before="240" w:after="0"/>
        <w:jc w:val="left"/>
        <w:rPr>
          <w:rFonts w:ascii="Times New Roman" w:hAnsi="Times New Roman"/>
          <w:sz w:val="18"/>
        </w:rPr>
      </w:pPr>
      <w:r>
        <w:rPr>
          <w:rFonts w:ascii="Times New Roman" w:hAnsi="Times New Roman"/>
          <w:sz w:val="18"/>
        </w:rPr>
        <w:t xml:space="preserve">Digital Realty Trust, Inc.’s common stock, series J preferred stock, series K preferred stock and series L preferred stock currently trade on the New York Stock Exchange, or NYSE, under the symbols “DLR”, “ “DLR Pr J”, “DLR Pr K”, or “DLR Pr L”, respectively. </w:t>
      </w:r>
    </w:p>
    <w:p>
      <w:pPr>
        <w:pStyle w:val="TextBody"/>
        <w:bidi w:val="0"/>
        <w:spacing w:before="240" w:after="0"/>
        <w:jc w:val="left"/>
        <w:rPr/>
      </w:pPr>
      <w:r>
        <w:rPr>
          <w:rFonts w:ascii="Times New Roman" w:hAnsi="Times New Roman"/>
          <w:b/>
          <w:sz w:val="22"/>
        </w:rPr>
        <w:t>Investing in our securities involves risks. See “</w:t>
      </w:r>
      <w:hyperlink w:anchor="tx914399_3">
        <w:r>
          <w:rPr>
            <w:rStyle w:val="InternetLink"/>
            <w:rFonts w:ascii="Times New Roman" w:hAnsi="Times New Roman"/>
            <w:b/>
            <w:sz w:val="22"/>
          </w:rPr>
          <w:t>Risk Factors</w:t>
        </w:r>
      </w:hyperlink>
      <w:r>
        <w:rPr>
          <w:rFonts w:ascii="Times New Roman" w:hAnsi="Times New Roman"/>
          <w:b/>
          <w:sz w:val="22"/>
        </w:rPr>
        <w:t xml:space="preserve">” beginning on page 3 of this prospectus and any similar section contained in the applicable prospectus supplement for certain risk factors you should consider before investing in our securities. </w:t>
      </w:r>
    </w:p>
    <w:p>
      <w:pPr>
        <w:pStyle w:val="TextBody"/>
        <w:bidi w:val="0"/>
        <w:spacing w:before="240" w:after="0"/>
        <w:jc w:val="left"/>
        <w:rPr>
          <w:rFonts w:ascii="Times New Roman" w:hAnsi="Times New Roman"/>
          <w:sz w:val="18"/>
        </w:rPr>
      </w:pPr>
      <w:r>
        <w:rPr>
          <w:rFonts w:ascii="Times New Roman" w:hAnsi="Times New Roman"/>
          <w:b/>
          <w:sz w:val="18"/>
        </w:rPr>
        <w:t>Neither the United States Securities and Exchange Commission nor any state securities commission has approved or disapproved of these securities or passed on the adequacy or accuracy of this prospectus. Any representation to the contrary is a criminal offense.</w:t>
      </w:r>
      <w:r>
        <w:rPr>
          <w:rFonts w:ascii="Times New Roman" w:hAnsi="Times New Roman"/>
          <w:sz w:val="18"/>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8"/>
        </w:rPr>
      </w:pPr>
      <w:r>
        <w:rPr>
          <w:rFonts w:ascii="Times New Roman" w:hAnsi="Times New Roman"/>
          <w:b/>
          <w:sz w:val="18"/>
        </w:rPr>
        <w:t xml:space="preserve">The date of this prospectus is February 17,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You should rely only on the information contained in this prospectus, in an accompanying prospectus supplement or incorporated by reference herein or therein. We have not authorized anyone to provide you with information or make any representation that is different. If anyone provides you with different or inconsistent information, you should not rely on it. This prospectus and any accompanying prospectus supplement do not constitute an offer to sell or a solicitation of an offer to buy any securities other than the registered securities to which they relate, and this prospectus and any accompanying prospectus supplement do not constitute an offer to sell or the solicitation of an offer to buy securities in any jurisdiction where, or to any person to whom, it is unlawful to make such an offer or solicitation. You should not assume that the information contained in this prospectus and any accompanying prospectus supplement is correct on any date after the respective dates of this prospectus and such prospectus supplement or supplements, as applicable, even though this prospectus and such prospectus supplement or supplements are delivered or securities are sold pursuant to this prospectus and such prospectus supplement or supplements at a later date. Since the respective dates of the prospectus contained in this registration statement and any accompanying prospectus supplement, our business, financial condition, results of operations and prospects may have changed. We may only use this prospectus to sell the securities if it is accompanied by a prospectus supplement.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38"/>
        <w:gridCol w:w="357"/>
        <w:gridCol w:w="60"/>
        <w:gridCol w:w="488"/>
        <w:gridCol w:w="62"/>
      </w:tblGrid>
      <w:tr>
        <w:trPr/>
        <w:tc>
          <w:tcPr>
            <w:tcW w:w="9238"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38" w:type="dxa"/>
            <w:tcBorders/>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u w:val="single"/>
              </w:rPr>
            </w:pPr>
            <w:r>
              <w:rPr>
                <w:u w:val="single"/>
              </w:rPr>
              <w:t>Page</w:t>
            </w:r>
          </w:p>
        </w:tc>
        <w:tc>
          <w:tcPr>
            <w:tcW w:w="62" w:type="dxa"/>
            <w:tcBorders/>
            <w:vAlign w:val="bottom"/>
          </w:tcPr>
          <w:p>
            <w:pPr>
              <w:pStyle w:val="TableContents"/>
              <w:bidi w:val="0"/>
              <w:spacing w:before="0" w:after="283"/>
              <w:jc w:val="left"/>
              <w:rPr/>
            </w:pPr>
            <w:r>
              <w:rPr/>
              <w:t> </w:t>
            </w:r>
          </w:p>
        </w:tc>
      </w:tr>
      <w:tr>
        <w:trPr/>
        <w:tc>
          <w:tcPr>
            <w:tcW w:w="9238" w:type="dxa"/>
            <w:tcBorders/>
          </w:tcPr>
          <w:p>
            <w:pPr>
              <w:pStyle w:val="TableContents"/>
              <w:bidi w:val="0"/>
              <w:spacing w:before="0" w:after="0"/>
              <w:jc w:val="left"/>
              <w:rPr/>
            </w:pPr>
            <w:hyperlink w:anchor="tx914399_1">
              <w:r>
                <w:rPr>
                  <w:rStyle w:val="InternetLink"/>
                  <w:rFonts w:ascii="Times New Roman" w:hAnsi="Times New Roman"/>
                  <w:sz w:val="20"/>
                </w:rPr>
                <w:t>About This Prospectus</w:t>
              </w:r>
            </w:hyperlink>
          </w:p>
        </w:tc>
        <w:tc>
          <w:tcPr>
            <w:tcW w:w="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38" w:type="dxa"/>
            <w:tcBorders/>
          </w:tcPr>
          <w:p>
            <w:pPr>
              <w:pStyle w:val="TableContents"/>
              <w:bidi w:val="0"/>
              <w:spacing w:before="0" w:after="0"/>
              <w:jc w:val="left"/>
              <w:rPr/>
            </w:pPr>
            <w:hyperlink w:anchor="tx914399_2">
              <w:r>
                <w:rPr>
                  <w:rStyle w:val="InternetLink"/>
                  <w:rFonts w:ascii="Times New Roman" w:hAnsi="Times New Roman"/>
                  <w:sz w:val="20"/>
                </w:rPr>
                <w:t>Our Company</w:t>
              </w:r>
            </w:hyperlink>
          </w:p>
        </w:tc>
        <w:tc>
          <w:tcPr>
            <w:tcW w:w="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38" w:type="dxa"/>
            <w:tcBorders/>
          </w:tcPr>
          <w:p>
            <w:pPr>
              <w:pStyle w:val="TableContents"/>
              <w:bidi w:val="0"/>
              <w:spacing w:before="0" w:after="0"/>
              <w:jc w:val="left"/>
              <w:rPr/>
            </w:pPr>
            <w:hyperlink w:anchor="tx914399_3">
              <w:r>
                <w:rPr>
                  <w:rStyle w:val="InternetLink"/>
                  <w:rFonts w:ascii="Times New Roman" w:hAnsi="Times New Roman"/>
                  <w:sz w:val="20"/>
                </w:rPr>
                <w:t>Risk Factors</w:t>
              </w:r>
            </w:hyperlink>
          </w:p>
        </w:tc>
        <w:tc>
          <w:tcPr>
            <w:tcW w:w="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38" w:type="dxa"/>
            <w:tcBorders/>
          </w:tcPr>
          <w:p>
            <w:pPr>
              <w:pStyle w:val="TableContents"/>
              <w:bidi w:val="0"/>
              <w:spacing w:before="0" w:after="0"/>
              <w:jc w:val="left"/>
              <w:rPr/>
            </w:pPr>
            <w:hyperlink w:anchor="tx914399_4">
              <w:r>
                <w:rPr>
                  <w:rStyle w:val="InternetLink"/>
                  <w:rFonts w:ascii="Times New Roman" w:hAnsi="Times New Roman"/>
                  <w:sz w:val="20"/>
                </w:rPr>
                <w:t>Where You Can Find More Information</w:t>
              </w:r>
            </w:hyperlink>
          </w:p>
        </w:tc>
        <w:tc>
          <w:tcPr>
            <w:tcW w:w="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38" w:type="dxa"/>
            <w:tcBorders/>
          </w:tcPr>
          <w:p>
            <w:pPr>
              <w:pStyle w:val="TableContents"/>
              <w:bidi w:val="0"/>
              <w:spacing w:before="0" w:after="0"/>
              <w:jc w:val="left"/>
              <w:rPr/>
            </w:pPr>
            <w:hyperlink w:anchor="tx914399_5">
              <w:r>
                <w:rPr>
                  <w:rStyle w:val="InternetLink"/>
                  <w:rFonts w:ascii="Times New Roman" w:hAnsi="Times New Roman"/>
                  <w:sz w:val="20"/>
                </w:rPr>
                <w:t>Incorporation of Certain Documents by Reference</w:t>
              </w:r>
            </w:hyperlink>
          </w:p>
        </w:tc>
        <w:tc>
          <w:tcPr>
            <w:tcW w:w="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38" w:type="dxa"/>
            <w:tcBorders/>
          </w:tcPr>
          <w:p>
            <w:pPr>
              <w:pStyle w:val="TableContents"/>
              <w:bidi w:val="0"/>
              <w:spacing w:before="0" w:after="0"/>
              <w:jc w:val="left"/>
              <w:rPr/>
            </w:pPr>
            <w:hyperlink w:anchor="tx914399_6">
              <w:r>
                <w:rPr>
                  <w:rStyle w:val="InternetLink"/>
                  <w:rFonts w:ascii="Times New Roman" w:hAnsi="Times New Roman"/>
                  <w:sz w:val="20"/>
                </w:rPr>
                <w:t>Use of Proceeds</w:t>
              </w:r>
            </w:hyperlink>
          </w:p>
        </w:tc>
        <w:tc>
          <w:tcPr>
            <w:tcW w:w="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38" w:type="dxa"/>
            <w:tcBorders/>
          </w:tcPr>
          <w:p>
            <w:pPr>
              <w:pStyle w:val="TableContents"/>
              <w:bidi w:val="0"/>
              <w:spacing w:before="0" w:after="0"/>
              <w:jc w:val="left"/>
              <w:rPr/>
            </w:pPr>
            <w:hyperlink w:anchor="tx914399_7">
              <w:r>
                <w:rPr>
                  <w:rStyle w:val="InternetLink"/>
                  <w:rFonts w:ascii="Times New Roman" w:hAnsi="Times New Roman"/>
                  <w:sz w:val="20"/>
                </w:rPr>
                <w:t>Description of Common Stock</w:t>
              </w:r>
            </w:hyperlink>
          </w:p>
        </w:tc>
        <w:tc>
          <w:tcPr>
            <w:tcW w:w="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38" w:type="dxa"/>
            <w:tcBorders/>
          </w:tcPr>
          <w:p>
            <w:pPr>
              <w:pStyle w:val="TableContents"/>
              <w:bidi w:val="0"/>
              <w:spacing w:before="0" w:after="0"/>
              <w:jc w:val="left"/>
              <w:rPr/>
            </w:pPr>
            <w:hyperlink w:anchor="tx914399_8">
              <w:r>
                <w:rPr>
                  <w:rStyle w:val="InternetLink"/>
                  <w:rFonts w:ascii="Times New Roman" w:hAnsi="Times New Roman"/>
                  <w:sz w:val="20"/>
                </w:rPr>
                <w:t>Description of Preferred Stock</w:t>
              </w:r>
            </w:hyperlink>
          </w:p>
        </w:tc>
        <w:tc>
          <w:tcPr>
            <w:tcW w:w="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38" w:type="dxa"/>
            <w:tcBorders/>
          </w:tcPr>
          <w:p>
            <w:pPr>
              <w:pStyle w:val="TableContents"/>
              <w:bidi w:val="0"/>
              <w:spacing w:before="0" w:after="0"/>
              <w:jc w:val="left"/>
              <w:rPr/>
            </w:pPr>
            <w:hyperlink w:anchor="tx914399_9">
              <w:r>
                <w:rPr>
                  <w:rStyle w:val="InternetLink"/>
                  <w:rFonts w:ascii="Times New Roman" w:hAnsi="Times New Roman"/>
                  <w:sz w:val="20"/>
                </w:rPr>
                <w:t>Description of Depositary Shares</w:t>
              </w:r>
            </w:hyperlink>
          </w:p>
        </w:tc>
        <w:tc>
          <w:tcPr>
            <w:tcW w:w="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38" w:type="dxa"/>
            <w:tcBorders/>
          </w:tcPr>
          <w:p>
            <w:pPr>
              <w:pStyle w:val="TableContents"/>
              <w:bidi w:val="0"/>
              <w:spacing w:before="0" w:after="0"/>
              <w:jc w:val="left"/>
              <w:rPr/>
            </w:pPr>
            <w:hyperlink w:anchor="tx914399_10">
              <w:r>
                <w:rPr>
                  <w:rStyle w:val="InternetLink"/>
                  <w:rFonts w:ascii="Times New Roman" w:hAnsi="Times New Roman"/>
                  <w:sz w:val="20"/>
                </w:rPr>
                <w:t>Description of Warrants</w:t>
              </w:r>
            </w:hyperlink>
          </w:p>
        </w:tc>
        <w:tc>
          <w:tcPr>
            <w:tcW w:w="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38" w:type="dxa"/>
            <w:tcBorders/>
          </w:tcPr>
          <w:p>
            <w:pPr>
              <w:pStyle w:val="TableContents"/>
              <w:bidi w:val="0"/>
              <w:spacing w:before="0" w:after="0"/>
              <w:jc w:val="left"/>
              <w:rPr/>
            </w:pPr>
            <w:hyperlink w:anchor="tx914399_11">
              <w:r>
                <w:rPr>
                  <w:rStyle w:val="InternetLink"/>
                  <w:rFonts w:ascii="Times New Roman" w:hAnsi="Times New Roman"/>
                  <w:sz w:val="20"/>
                </w:rPr>
                <w:t>Description of Debt Securities and Related Guarantees</w:t>
              </w:r>
            </w:hyperlink>
          </w:p>
        </w:tc>
        <w:tc>
          <w:tcPr>
            <w:tcW w:w="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38" w:type="dxa"/>
            <w:tcBorders/>
          </w:tcPr>
          <w:p>
            <w:pPr>
              <w:pStyle w:val="TableContents"/>
              <w:bidi w:val="0"/>
              <w:spacing w:before="0" w:after="0"/>
              <w:jc w:val="left"/>
              <w:rPr/>
            </w:pPr>
            <w:hyperlink w:anchor="tx914399_12">
              <w:r>
                <w:rPr>
                  <w:rStyle w:val="InternetLink"/>
                  <w:rFonts w:ascii="Times New Roman" w:hAnsi="Times New Roman"/>
                  <w:sz w:val="20"/>
                </w:rPr>
                <w:t>Restrictions on Ownership and Transfer</w:t>
              </w:r>
            </w:hyperlink>
          </w:p>
        </w:tc>
        <w:tc>
          <w:tcPr>
            <w:tcW w:w="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38" w:type="dxa"/>
            <w:tcBorders/>
          </w:tcPr>
          <w:p>
            <w:pPr>
              <w:pStyle w:val="TableContents"/>
              <w:bidi w:val="0"/>
              <w:spacing w:before="0" w:after="0"/>
              <w:jc w:val="left"/>
              <w:rPr/>
            </w:pPr>
            <w:hyperlink w:anchor="tx914399_13">
              <w:r>
                <w:rPr>
                  <w:rStyle w:val="InternetLink"/>
                  <w:rFonts w:ascii="Times New Roman" w:hAnsi="Times New Roman"/>
                  <w:sz w:val="20"/>
                </w:rPr>
                <w:t>Description of the Partnership Agreement of Digital Realty Trust, L.P.</w:t>
              </w:r>
            </w:hyperlink>
          </w:p>
        </w:tc>
        <w:tc>
          <w:tcPr>
            <w:tcW w:w="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238" w:type="dxa"/>
            <w:tcBorders/>
          </w:tcPr>
          <w:p>
            <w:pPr>
              <w:pStyle w:val="TableContents"/>
              <w:bidi w:val="0"/>
              <w:spacing w:before="0" w:after="0"/>
              <w:jc w:val="left"/>
              <w:rPr/>
            </w:pPr>
            <w:hyperlink w:anchor="tx914399_14">
              <w:r>
                <w:rPr>
                  <w:rStyle w:val="InternetLink"/>
                  <w:rFonts w:ascii="Times New Roman" w:hAnsi="Times New Roman"/>
                  <w:sz w:val="20"/>
                </w:rPr>
                <w:t>Material Provisions of Maryland Law and of the Charter and Bylaws of Digital Realty Trust, Inc.</w:t>
              </w:r>
            </w:hyperlink>
          </w:p>
        </w:tc>
        <w:tc>
          <w:tcPr>
            <w:tcW w:w="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238" w:type="dxa"/>
            <w:tcBorders/>
          </w:tcPr>
          <w:p>
            <w:pPr>
              <w:pStyle w:val="TableContents"/>
              <w:bidi w:val="0"/>
              <w:spacing w:before="0" w:after="0"/>
              <w:jc w:val="left"/>
              <w:rPr/>
            </w:pPr>
            <w:hyperlink w:anchor="tx914399_15">
              <w:r>
                <w:rPr>
                  <w:rStyle w:val="InternetLink"/>
                  <w:rFonts w:ascii="Times New Roman" w:hAnsi="Times New Roman"/>
                  <w:sz w:val="20"/>
                </w:rPr>
                <w:t>United States Federal Income Tax Considerations</w:t>
              </w:r>
            </w:hyperlink>
          </w:p>
        </w:tc>
        <w:tc>
          <w:tcPr>
            <w:tcW w:w="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53</w:t>
            </w:r>
          </w:p>
        </w:tc>
        <w:tc>
          <w:tcPr>
            <w:tcW w:w="62" w:type="dxa"/>
            <w:tcBorders/>
            <w:vAlign w:val="bottom"/>
          </w:tcPr>
          <w:p>
            <w:pPr>
              <w:pStyle w:val="TableContents"/>
              <w:bidi w:val="0"/>
              <w:spacing w:before="0" w:after="283"/>
              <w:jc w:val="left"/>
              <w:rPr/>
            </w:pPr>
            <w:r>
              <w:rPr/>
              <w:t> </w:t>
            </w:r>
          </w:p>
        </w:tc>
      </w:tr>
      <w:tr>
        <w:trPr/>
        <w:tc>
          <w:tcPr>
            <w:tcW w:w="9238" w:type="dxa"/>
            <w:tcBorders/>
          </w:tcPr>
          <w:p>
            <w:pPr>
              <w:pStyle w:val="TableContents"/>
              <w:bidi w:val="0"/>
              <w:spacing w:before="0" w:after="0"/>
              <w:jc w:val="left"/>
              <w:rPr/>
            </w:pPr>
            <w:hyperlink w:anchor="tx914399_16">
              <w:r>
                <w:rPr>
                  <w:rStyle w:val="InternetLink"/>
                  <w:rFonts w:ascii="Times New Roman" w:hAnsi="Times New Roman"/>
                  <w:sz w:val="20"/>
                </w:rPr>
                <w:t>Selling Securityholders</w:t>
              </w:r>
            </w:hyperlink>
          </w:p>
        </w:tc>
        <w:tc>
          <w:tcPr>
            <w:tcW w:w="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9238" w:type="dxa"/>
            <w:tcBorders/>
          </w:tcPr>
          <w:p>
            <w:pPr>
              <w:pStyle w:val="TableContents"/>
              <w:bidi w:val="0"/>
              <w:spacing w:before="0" w:after="0"/>
              <w:jc w:val="left"/>
              <w:rPr/>
            </w:pPr>
            <w:hyperlink w:anchor="tx914399_17">
              <w:r>
                <w:rPr>
                  <w:rStyle w:val="InternetLink"/>
                  <w:rFonts w:ascii="Times New Roman" w:hAnsi="Times New Roman"/>
                  <w:sz w:val="20"/>
                </w:rPr>
                <w:t>Plan of Distribution</w:t>
              </w:r>
            </w:hyperlink>
          </w:p>
        </w:tc>
        <w:tc>
          <w:tcPr>
            <w:tcW w:w="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81</w:t>
            </w:r>
          </w:p>
        </w:tc>
        <w:tc>
          <w:tcPr>
            <w:tcW w:w="62" w:type="dxa"/>
            <w:tcBorders/>
            <w:vAlign w:val="bottom"/>
          </w:tcPr>
          <w:p>
            <w:pPr>
              <w:pStyle w:val="TableContents"/>
              <w:bidi w:val="0"/>
              <w:spacing w:before="0" w:after="283"/>
              <w:jc w:val="left"/>
              <w:rPr/>
            </w:pPr>
            <w:r>
              <w:rPr/>
              <w:t> </w:t>
            </w:r>
          </w:p>
        </w:tc>
      </w:tr>
      <w:tr>
        <w:trPr/>
        <w:tc>
          <w:tcPr>
            <w:tcW w:w="9238" w:type="dxa"/>
            <w:tcBorders/>
          </w:tcPr>
          <w:p>
            <w:pPr>
              <w:pStyle w:val="TableContents"/>
              <w:bidi w:val="0"/>
              <w:spacing w:before="0" w:after="0"/>
              <w:jc w:val="left"/>
              <w:rPr/>
            </w:pPr>
            <w:hyperlink w:anchor="tx914399_18">
              <w:r>
                <w:rPr>
                  <w:rStyle w:val="InternetLink"/>
                  <w:rFonts w:ascii="Times New Roman" w:hAnsi="Times New Roman"/>
                  <w:sz w:val="20"/>
                </w:rPr>
                <w:t>Legal Matters</w:t>
              </w:r>
            </w:hyperlink>
          </w:p>
        </w:tc>
        <w:tc>
          <w:tcPr>
            <w:tcW w:w="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9238" w:type="dxa"/>
            <w:tcBorders/>
          </w:tcPr>
          <w:p>
            <w:pPr>
              <w:pStyle w:val="TableContents"/>
              <w:bidi w:val="0"/>
              <w:spacing w:before="0" w:after="0"/>
              <w:jc w:val="left"/>
              <w:rPr/>
            </w:pPr>
            <w:hyperlink w:anchor="tx914399_19">
              <w:r>
                <w:rPr>
                  <w:rStyle w:val="InternetLink"/>
                  <w:rFonts w:ascii="Times New Roman" w:hAnsi="Times New Roman"/>
                  <w:sz w:val="20"/>
                </w:rPr>
                <w:t>Experts</w:t>
              </w:r>
            </w:hyperlink>
          </w:p>
        </w:tc>
        <w:tc>
          <w:tcPr>
            <w:tcW w:w="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84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914399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or the SEC, as a “well-known seasoned issuer” as defined in Rule 405 under the Securities Act of 1933, as amended, using a “shelf” registration process. By using a shelf registration statement, we may sell securities from time to time and in one or more offerings and the selling securityholders to be named in a supplement to this prospectus may, from time to time, sell shares of common stock in one or more offerings as described in this prospectus. Each time that we or the selling securityholders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or incorporated by reference into this prospectus with respect to that offering. If there is any inconsistency between the information in or incorporated by reference into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headings “Where You Can Find More Information” and “Incorporation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selling securityholder has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Neither we nor any selling securityholder will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unless the context requires otherwise, all references in this prospectus to “we,” “us,” “our,” “our company” or “the company” refer to Digital Realty Trust, Inc., a Maryland corporation, together with its consolidated subsidiaries, including Digital Realty Trust, L.P., a Maryland limited partnership, of which Digital Realty Trust, Inc. is the sole general partner. In statements regarding qualification as a REIT, such terms refer solely to Digital Realty Trust, Inc. Unless otherwise indicated or unless the context requires otherwise, all references in this prospectus to “our operating partnership” or “the operating partnership” refer to Digital Realty Trust, L.P. together with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914399_2"/>
      <w:bookmarkEnd w:id="16"/>
      <w:r>
        <w:rPr>
          <w:rFonts w:ascii="Times New Roman" w:hAnsi="Times New Roman"/>
          <w:b/>
          <w:sz w:val="20"/>
        </w:rPr>
        <w:t xml:space="preserve">OUR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leading global provider of data center, colocation and interconnection solutions for customers across a variety of industry verticals. Digital Realty Trust, L.P., a Maryland limited partnership, is the entity through which Digital Realty Trust, Inc., a Maryland corporation, conducts its business of owning, acquiring, developing and operating data centers. Digital Realty Trust, Inc. operates as a REIT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Digital Realty Trust, Inc. was incorporated in the state of Maryland on March 9, 2004. Digital Realty Trust, L.P. was organized in the state of Maryland on July 21, 2004. Our principal executive offices are located at 2323 Bryan Street, Suite 1800, Dallas, Texas 75201. Our telephone number is (214) 231-1350. Our website is www.digitalrealty.com. The information found on, or otherwise accessible through, our website is not incorporated into, and does not form a part of, this prospectus or any other report or document we file with or furnish to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914399_3"/>
      <w:bookmarkEnd w:id="1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risks. Before acquiring any offered securities pursuant to this prospectus, you should carefully consider the information contained or incorporated by reference in this prospectus or in any accompanying prospectus supplement, including, without limitation, the risk factors incorporated by reference to the company’s and the operating partnership’s most recent combined Annual Report on Form 10-K and any subsequent Quarterly Reports on Form 10-Q or Current Reports on Form 8-K we file after the date of this prospectus, and the other information contained or incorporated by reference in this prospectus, as updated by our subsequent filings under the Securities Exchange Act of 1934, as amended, or the Exchange Act, and the risk factors and other information contained in the applicable prospectus supplement before acquiring any of such securities. The occurrence of any of these risks might cause you to lose all or a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914399_4"/>
      <w:bookmarkEnd w:id="1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special reports, proxy statements and other information with the SEC. The SEC maintains a web site that contains reports, proxy and information statements and other information about issuers, such as us, who file electronically with the SEC at www.sec.gov. The address of that website is </w:t>
      </w:r>
      <w:r>
        <w:rPr>
          <w:rFonts w:ascii="Times New Roman" w:hAnsi="Times New Roman"/>
          <w:i/>
          <w:sz w:val="20"/>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maintain a website that contains information about us at www.digitalrealty.com. The information found on, or otherwise accessible through, this website is not incorporated into, and does not form a part of, this prospectus or any other report or document we file with or furnish to the SEC.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as provided above,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914399_5"/>
      <w:bookmarkEnd w:id="19"/>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combined Annual Report on </w:t>
            </w:r>
            <w:hyperlink r:id="rId15">
              <w:r>
                <w:rPr>
                  <w:rStyle w:val="InternetLink"/>
                  <w:rFonts w:ascii="Times New Roman" w:hAnsi="Times New Roman"/>
                  <w:sz w:val="20"/>
                </w:rPr>
                <w:t>Form 10-K</w:t>
              </w:r>
            </w:hyperlink>
            <w:r>
              <w:rPr>
                <w:rFonts w:ascii="Times New Roman" w:hAnsi="Times New Roman"/>
                <w:sz w:val="20"/>
              </w:rPr>
              <w:t xml:space="preserve"> of Digital Realty Trust, Inc. and Digital Realty Trust, L.P.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Definitive Proxy Statement on </w:t>
            </w:r>
            <w:hyperlink r:id="rId16">
              <w:r>
                <w:rPr>
                  <w:rStyle w:val="InternetLink"/>
                  <w:rFonts w:ascii="Times New Roman" w:hAnsi="Times New Roman"/>
                  <w:sz w:val="20"/>
                </w:rPr>
                <w:t>Schedule 14A</w:t>
              </w:r>
            </w:hyperlink>
            <w:r>
              <w:rPr>
                <w:rFonts w:ascii="Times New Roman" w:hAnsi="Times New Roman"/>
                <w:sz w:val="20"/>
              </w:rPr>
              <w:t xml:space="preserve"> of Digital Realty Trust, Inc. filed with the SEC on April  25, 2025 (solely to the extent specifically incorporated by reference into the combined Annual Report on </w:t>
            </w:r>
            <w:hyperlink r:id="rId17">
              <w:r>
                <w:rPr>
                  <w:rStyle w:val="InternetLink"/>
                  <w:rFonts w:ascii="Times New Roman" w:hAnsi="Times New Roman"/>
                  <w:sz w:val="20"/>
                </w:rPr>
                <w:t>Form 10-K</w:t>
              </w:r>
            </w:hyperlink>
            <w:r>
              <w:rPr>
                <w:rFonts w:ascii="Times New Roman" w:hAnsi="Times New Roman"/>
                <w:sz w:val="20"/>
              </w:rPr>
              <w:t xml:space="preserve"> of Digital Realty Trust, Inc. and Digital Realty Trust, L.P. for the year ended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Digital Realty Trust, Inc.’s common stock, par value $0.01 per share, contained in Digital Realty Trust, Inc.’s Registration Statement on </w:t>
            </w:r>
            <w:hyperlink r:id="rId18">
              <w:r>
                <w:rPr>
                  <w:rStyle w:val="InternetLink"/>
                  <w:rFonts w:ascii="Times New Roman" w:hAnsi="Times New Roman"/>
                  <w:sz w:val="20"/>
                </w:rPr>
                <w:t>Form 8-A</w:t>
              </w:r>
            </w:hyperlink>
            <w:r>
              <w:rPr>
                <w:rFonts w:ascii="Times New Roman" w:hAnsi="Times New Roman"/>
                <w:sz w:val="20"/>
              </w:rPr>
              <w:t xml:space="preserve"> filed on October 28, 2004 (file number 001-32336), including any amendment or reports filed for the purpose of updating this description;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Digital Realty Trust, Inc.’s Series J Cumulative Redeemable Preferred Stock, par value $0.01 per share, contained in Digital Realty Trust, Inc.’s Registration Statement on </w:t>
            </w:r>
            <w:hyperlink r:id="rId19">
              <w:r>
                <w:rPr>
                  <w:rStyle w:val="InternetLink"/>
                  <w:rFonts w:ascii="Times New Roman" w:hAnsi="Times New Roman"/>
                  <w:sz w:val="20"/>
                </w:rPr>
                <w:t>Form 8-A</w:t>
              </w:r>
            </w:hyperlink>
            <w:r>
              <w:rPr>
                <w:rFonts w:ascii="Times New Roman" w:hAnsi="Times New Roman"/>
                <w:sz w:val="20"/>
              </w:rPr>
              <w:t xml:space="preserve"> filed on August 4, 2017 (file number 001-32336), including any amendments or reports filed for the purpose of updating this description;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Digital Realty Trust, Inc.’s Series K Cumulative Redeemable Preferred Stock, par value $0.01 per share, contained in Digital Realty Trust, Inc.’s Registration Statement on </w:t>
            </w:r>
            <w:hyperlink r:id="rId20">
              <w:r>
                <w:rPr>
                  <w:rStyle w:val="InternetLink"/>
                  <w:rFonts w:ascii="Times New Roman" w:hAnsi="Times New Roman"/>
                  <w:sz w:val="20"/>
                </w:rPr>
                <w:t>Form 8-A</w:t>
              </w:r>
            </w:hyperlink>
            <w:r>
              <w:rPr>
                <w:rFonts w:ascii="Times New Roman" w:hAnsi="Times New Roman"/>
                <w:sz w:val="20"/>
              </w:rPr>
              <w:t xml:space="preserve"> filed on March 12, 2019 (file number 001-32336), including any amendments or reports filed for the purpose of updating this description;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Digital Realty Trust, Inc.’s Series L Cumulative Redeemable Preferred Stock, par value $0.01 per share, contained in Digital Realty Trust, Inc.’s Registration Statement on </w:t>
            </w:r>
            <w:hyperlink r:id="rId21">
              <w:r>
                <w:rPr>
                  <w:rStyle w:val="InternetLink"/>
                  <w:rFonts w:ascii="Times New Roman" w:hAnsi="Times New Roman"/>
                  <w:sz w:val="20"/>
                </w:rPr>
                <w:t>Form 8-A</w:t>
              </w:r>
            </w:hyperlink>
            <w:r>
              <w:rPr>
                <w:rFonts w:ascii="Times New Roman" w:hAnsi="Times New Roman"/>
                <w:sz w:val="20"/>
              </w:rPr>
              <w:t xml:space="preserve"> filed on October 9, 2019 (file number 001-32336), including any amendments or reports filed for the purpose of updating this description;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us with the SEC pursuant to Sections 13(a), 13(c), 14 or 15(d) of the Exchange Act after the date of this prospectus and prior to the termination of the offering of the underlying securities (excluding any portions of such documents that are deemed “furnished” to the SEC pursuant to applicable rules and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those exhibits are specifically incorporated by reference into those documents. A written request should be addressed to Investor Relations, Digital Realty Trust, Inc., 2323 Bryan Street, Suite 1800, Dallas, Texas 75201.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914399_6"/>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disclose the intended use of proceeds from the sale of any securities under this prospectus in the applicable prospectus supplement. We will not receive any proceeds from sales of securities by selling securityholders.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914399_7"/>
      <w:bookmarkEnd w:id="21"/>
      <w:r>
        <w:rPr>
          <w:rFonts w:ascii="Times New Roman" w:hAnsi="Times New Roman"/>
          <w:b/>
          <w:sz w:val="20"/>
        </w:rPr>
        <w:t xml:space="preserve">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Digital Realty Trust, Inc.’s common stock sets forth certain general terms and provisions of the common stock to which any prospectus supplement may relate and will apply to the common stock offered by this prospectus unless we provide otherwise in the applicable prospectus supplement. The description of Digital Realty Trust, Inc.’s common stock set forth below and in any prospectus supplement does not purport to be complete and is subject to and qualified in its entirety by reference to the applicable provisions of Digital Realty Trust, Inc.’s charter and bylaws. </w:t>
      </w:r>
    </w:p>
    <w:p>
      <w:pPr>
        <w:pStyle w:val="TextBody"/>
        <w:bidi w:val="0"/>
        <w:spacing w:before="240" w:after="0"/>
        <w:jc w:val="left"/>
        <w:rPr>
          <w:rFonts w:ascii="Times New Roman" w:hAnsi="Times New Roman"/>
          <w:sz w:val="20"/>
        </w:rPr>
      </w:pPr>
      <w:r>
        <w:rPr>
          <w:rFonts w:ascii="Times New Roman" w:hAnsi="Times New Roman"/>
          <w:i/>
          <w:sz w:val="20"/>
        </w:rPr>
        <w:t>General.</w:t>
      </w:r>
      <w:r>
        <w:rPr>
          <w:rFonts w:ascii="Times New Roman" w:hAnsi="Times New Roman"/>
          <w:sz w:val="20"/>
        </w:rPr>
        <w:t xml:space="preserve"> The company’s charter provides that it may issue up to 502,000,000 shares of its common stock, par value $0.01 per share, or the common stock. As of February 9, 2026, 343,615,444 shares of the common stock were issued and outstanding, excluding: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2.9 million shares available for future issuance under our incentive award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1,791,403 shares issuable upon redemption of outstanding vested long-term incentive units (including class C profits interest units of our operating partnership, or class C units, and class D profits interest units of our operating partnership, or class D units) issued under our incentive award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427,561 shares issuable upon redemption of outstanding unvested long-term incentive units (excluding unvested class D units) issued under our incentive award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4,044,535 shares issuable upon redemption of outstanding common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648,044 shares issuable upon vesting of restricted stock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182,572 shares potentially issuable upon redemption of outstanding unvested class D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37,128 shares potentially issuable upon redemption of unvested market performance-based restricted stock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465,609 shares potentially issuable upon achievement of a market or financial performance condition for unvested class D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69,903 shares potentially issuable upon achievement of a market or financial performance condition for unvested performance-based restricted stock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maximum of 3,401,680, 3,663,324, and 5,315,484 shares of common stock potentially issuable upon conversion of the company’s series J preferred stock, series K preferred stock and series L preferred stock respectively, in each case upon the occurrence of specified change in control transactions as described in “Description of Preferred Stock”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outstanding shares of the common stock are duly authorized, fully paid and nonassessable. Subject to the preferential rights of any other class or series of stock and to the provisions of the company’s charter regarding the restrictions on transfer of stock, holders of shares of the common stock are entitled to receive dividends on such stock if, as and when authorized by the company’s board of directors out of assets legally available therefor and declared by the company and to share ratably in the assets of the company legally available for distribution to the company’s stockholders in the event of the company’s liquidation, dissolution or winding up after payment or establishment of reserves for all known debts and liabilities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company’s charter regarding the restrictions on transfer of stock and except as may be otherwise specified therein with respect to any class or series of common stock, each outstanding share of the common stock entitles the holder to one vote on all matters submitted to a vote of stockholders, including the election of directors and, except as provided with respect to any other class or series of stock, the holders of such shares will possess the exclusive voting power. There is no cumulative voting in the election of the company’s board of directors, which means that the holders of a majority of the outstanding shares of the common stock can elect all of the directors then standing for election and the holders of the remaining shares will not be able to elect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directors. Directors are elected by a majority of all the votes cast at a meeting of stockholders duly called and at which a quorum is present if the election is uncontested. Directors are elected by a plurality of the votes cast at a meeting of stockholders duly called and at which a quorum is present if the election is contested. </w:t>
      </w:r>
    </w:p>
    <w:p>
      <w:pPr>
        <w:pStyle w:val="TextBody"/>
        <w:bidi w:val="0"/>
        <w:spacing w:before="240" w:after="0"/>
        <w:jc w:val="left"/>
        <w:rPr>
          <w:rFonts w:ascii="Times New Roman" w:hAnsi="Times New Roman"/>
          <w:sz w:val="20"/>
        </w:rPr>
      </w:pPr>
      <w:r>
        <w:rPr>
          <w:rFonts w:ascii="Times New Roman" w:hAnsi="Times New Roman"/>
          <w:sz w:val="20"/>
        </w:rPr>
        <w:t xml:space="preserve">Holders of shares of the common stock have no preference, conversion, exchange, sinking fund or redemption rights, have no preemptive rights to subscribe for any securities of the company and generally have no appraisal rights unless the company’s board of directors determines that appraisal rights apply, with respect to all or any classes or series of stock, to one or more transactions occurring after the date of such determination in connection with which stockholders would otherwise be entitled to exercise appraisal rights. Subject to the provisions of the company’s charter regarding the restrictions on transfer of stock, shares of the common stock will have equal dividend, liquidation and other rights. </w:t>
      </w:r>
    </w:p>
    <w:p>
      <w:pPr>
        <w:pStyle w:val="TextBody"/>
        <w:bidi w:val="0"/>
        <w:spacing w:before="240" w:after="0"/>
        <w:jc w:val="left"/>
        <w:rPr>
          <w:rFonts w:ascii="Times New Roman" w:hAnsi="Times New Roman"/>
          <w:sz w:val="20"/>
        </w:rPr>
      </w:pPr>
      <w:r>
        <w:rPr>
          <w:rFonts w:ascii="Times New Roman" w:hAnsi="Times New Roman"/>
          <w:sz w:val="20"/>
        </w:rPr>
        <w:t xml:space="preserve">Under the Maryland General Corporation Law, or MGCL, a Maryland corporation generally cannot dissolve, amend its charter, merge, convert, sell all or substantially all of its assets, engage in a share exchange or engage in similar transactions outside the ordinary course of business unless the action is approved by the affirmative vote of stockholders entitled to cast at least two-thirds of the votes entitled to be cast on the matter unless a lesser percentage (but not less than a majority of all of the votes entitled to be cast on the matter) is set forth in the corporation’s charter. Except for certain charter amendments relating to the removal of directors and the vote required for certain amendments, the company’s charter provides that these actions may be taken if declared advisable by a majority of the company’s board of directors and approved by the vote of stockholders entitled to cast a majority of the votes entitled to be cast on the matter. However, Maryland law permits a corporation to transfer all or substantially all of its assets without the approval of the stockholders of the corporation to one or more persons if all of the equity interests of the person or persons are owned, directly or indirectly, by the corporation. In addition, operating assets may be held by a corporation’s subsidiaries, as in the company’s situation, and these subsidiaries may be able to transfer all or substantially all of such assets without a vote of the parent corporation’s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charter authorizes its board of directors to reclassify any unissued shares of the common stock into other classes or series of stock and to establish the number of shares in each class or series and to set the preferences, conversion and other rights, voting powers, restrictions, limitations as to dividends or other distributions, qualifications or terms or conditions of redemption for each such class or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Power to Increase Authorized Stock and Issue Additional Shares of the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company’s board of directors has the power to amend the company’s charter from time to time without stockholder approval to increase or decrease the number of authorized shares of common stock, to issue additional authorized but unissued shares of the common stock and to classify or reclassify unissued shares of the common stock into other classes or series of stock and thereafter to cause the company to issue such classified or reclassified shares of stock. The company believes these powers provide it with increased flexibility in structuring possible future financings and acquisitions and in meeting other needs which might arise. Subject to the limited rights of holders of the company’s series J preferred stock, series K preferred stock and series L preferred stock and each other parity class or series of preferred stock, voting together as a single class, to approve certain issuances of senior classes or series of stock, the additional classes or series, as well as the common stock, will be available for issuance without further action by the company’s stockholders, unless stockholder consent is required by applicable law or the rules of any stock exchange or automated quotation system on which the company’s securities may be listed or traded. Although the company’s board of directors does not intend to do so, it could authorize us to issue a class or series that could, depending upon the terms of the particular class or series, delay, defer or prevent a transaction or a change of control of the company that might involve a premium price for the company’s stockholders or otherwise be in their best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Restrictions on Ownership and Transfer </w:t>
      </w:r>
    </w:p>
    <w:p>
      <w:pPr>
        <w:pStyle w:val="TextBody"/>
        <w:bidi w:val="0"/>
        <w:spacing w:before="120" w:after="0"/>
        <w:jc w:val="left"/>
        <w:rPr>
          <w:rFonts w:ascii="Times New Roman" w:hAnsi="Times New Roman"/>
          <w:sz w:val="20"/>
        </w:rPr>
      </w:pPr>
      <w:r>
        <w:rPr>
          <w:rFonts w:ascii="Times New Roman" w:hAnsi="Times New Roman"/>
          <w:sz w:val="20"/>
        </w:rPr>
        <w:t xml:space="preserve">To assist us in complying with certain U.S. federal income tax requirements applicable to REITs, the company has adopted certain restrictions relating to the ownership and transfer of the common stock. See “Restrictions on Ownership and Transfer.”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the common stock is Equiniti Trust Company,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914399_8"/>
      <w:bookmarkEnd w:id="22"/>
      <w:r>
        <w:rPr>
          <w:rFonts w:ascii="Times New Roman" w:hAnsi="Times New Roman"/>
          <w:b/>
          <w:sz w:val="20"/>
        </w:rPr>
        <w:t xml:space="preserve">DESCRIPTION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 particular class or series of preferred stock will be described in the prospectus supplement relating to that class or series, including a prospectus supplement providing that preferred stock may be issuable upon the exercise of warrants the company issues. The description of preferred stock set forth below and the description of the terms of a particular class or series of preferred stock set forth in the applicable prospectus supplement do not purport to be complete and are qualified in their entirety by reference to the articles supplementary relating to that class or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company’s charter provides that it may issue up to 110 million shares of preferred stock, $0.01 par value per share, or preferred stock. The company’s charter authorizes its board of directors to amend its charter from time to time without stockholder approval to increase or decrease the number of authorized shares of preferred stock. As of February 9, 2026, 8,000,000 shares of the company’s series J preferred stock, 8,400,000 shares of the company’s series K preferred stock and 13,800,000 shares of the company’s series L preferred stock were issued and outstanding. No other shares of the company’s preferred stock are currently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company’s charter authorizes its board of directors to classify any unissued shares of preferred stock and to reclassify any previously classified but unissued shares of any series into other classes or series of stock. Prior to the issuance of shares of each class or series, the company’s board of directors is required by the MGCL and the company’s charter to set, subject to the provisions of the company’s charter regarding the restrictions on transfers of stock, the terms, preferences, conversion or other rights, voting powers, restrictions, limitations as to dividends or other distributions, qualifications and terms or conditions of redemption for each such class or series. Thus, the company’s board of directors could authorize the issuance of shares of preferred stock with terms and conditions which could have the effect of delaying, deferring or preventing a transaction or a change of control of the company that might involve a premium price for holders of the common stock or otherwise be in their best interest. </w:t>
      </w:r>
    </w:p>
    <w:p>
      <w:pPr>
        <w:pStyle w:val="TextBody"/>
        <w:bidi w:val="0"/>
        <w:spacing w:before="240" w:after="0"/>
        <w:jc w:val="left"/>
        <w:rPr>
          <w:rFonts w:ascii="Times New Roman" w:hAnsi="Times New Roman"/>
          <w:sz w:val="20"/>
        </w:rPr>
      </w:pPr>
      <w:r>
        <w:rPr>
          <w:rFonts w:ascii="Times New Roman" w:hAnsi="Times New Roman"/>
          <w:sz w:val="20"/>
        </w:rPr>
        <w:t xml:space="preserve">The preferences and other terms of the preferred stock of each class or series will be fixed by the articles supplementary relating to such class or series. A prospectus supplement, relating to each class or series, will describe the terms of the preferred stock, including, where applicable,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such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such preferred stock offered, the liquidation preference per share and the offering price of such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and/or payment date(s) or method(s) of calculation thereof applicable to such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such preferred stock is cumulative or not and, if cumulative, the date from which dividends on such preferred stock shall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a sinking fund, if any, for such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redemption, if applicable, of such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such preferred stock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preemptive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applicable, upon which such preferred stock will be converted into the common stock, including the conversion price (or manner of calculation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additional material U.S. federal income tax consequences, if any, applicable to an investment in such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actual and constructive ownership and restrictions on transfer; </w:t>
            </w:r>
          </w:p>
        </w:tc>
      </w:tr>
    </w:tbl>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such preferred stock as to dividend rights and rights upon liquidation, dissolution or winding up of the affairs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such class or series of preferred stock as to dividend rights and rights upon liquidation, dissolution or winding up of the affairs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voting rights of such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such preferred stock.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Rank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prospectus supplement, the preferred stock will, with respect to dividend rights and rights upon liquidation, dissolution or winding up of the company, rank: (i) senior to all classes or series of the common stock, and to any other class or series of the company’s stock expressly designated as ranking junior to the preferred stock; (ii) on parity with any class or series of the company’s stock expressly designated as ranking on parity with the preferred stock; and (iii) junior to any other class or series of the company’s stock expressly designated as ranking senior to the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if any, upon which any shares of any class or series of preferred stock are convertible into common stock will be described in the applicable prospectus supplement relating thereto. Such terms will include the number of shares of the common stock into which the shares of preferred stock are convertible, the conversion price (or manner of calculation thereof), the conversion period, provisions as to whether conversion will be at the option of the holders of such class or series of preferred stock, the events requiring an adjustment of the conversion price and provisions affecting conversion in the event of the redemption of such class or series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Power to Increase or Decrease Authorized Stock and Issue Additional Shares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company’s board of directors has the power to amend the company’s charter from time to time without stockholder approval to increase or decrease the number of authorized shares of preferred stock, to issue additional authorized but unissued shares of the company’s preferred stock and to classify or reclassify unissued shares of the company’s preferred stock into other classes or series of stock and thereafter to cause us to issue such classified or reclassified shares of stock. Subject to the limited rights of holders of the company’s series J preferred stock, series K preferred stock and series L preferred stock and each other parity class or series of preferred stock, voting together as a single class, to approve certain issuances of senior classes or series of stock, the additional classes or series will be available for issuance without further action by the company’s stockholders, unless stockholder consent is required by applicable law or the rules of any stock exchange or automated quotation system on which the company’s securities may be listed or traded. Although the company’s board of directors does not intend to do so, it could authorize the company to issue a class or series that could, depending upon the terms of the particular class or series, delay, defer or prevent a transaction or a change of control of the company that might involve a premium price for the company’s stockholders or otherwise be in their best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Restrictions on Ownership and Transfer </w:t>
      </w:r>
    </w:p>
    <w:p>
      <w:pPr>
        <w:pStyle w:val="TextBody"/>
        <w:bidi w:val="0"/>
        <w:spacing w:before="120" w:after="0"/>
        <w:jc w:val="left"/>
        <w:rPr>
          <w:rFonts w:ascii="Times New Roman" w:hAnsi="Times New Roman"/>
          <w:sz w:val="20"/>
        </w:rPr>
      </w:pPr>
      <w:r>
        <w:rPr>
          <w:rFonts w:ascii="Times New Roman" w:hAnsi="Times New Roman"/>
          <w:sz w:val="20"/>
        </w:rPr>
        <w:t xml:space="preserve">To assist the company in complying with certain U.S. federal income tax requirements applicable to REITs, the company has adopted certain restrictions relating to the ownership and transfer of the company’s series J preferred stock, series K preferred stock and series L preferred stock. The company expects to adopt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restrictions with respect to any class or series offered pursuant to this prospectus under the articles supplementary for each such class or series. The applicable prospectus supplement will specify any additional ownership limitation relating to such class or series. See “Restrictions on Ownership and Transfer.” </w:t>
      </w:r>
    </w:p>
    <w:p>
      <w:pPr>
        <w:pStyle w:val="TextBody"/>
        <w:bidi w:val="0"/>
        <w:spacing w:before="360" w:after="0"/>
        <w:jc w:val="left"/>
        <w:rPr>
          <w:rFonts w:ascii="Times New Roman" w:hAnsi="Times New Roman"/>
          <w:b/>
          <w:sz w:val="20"/>
        </w:rPr>
      </w:pPr>
      <w:r>
        <w:rPr>
          <w:rFonts w:ascii="Times New Roman" w:hAnsi="Times New Roman"/>
          <w:b/>
          <w:sz w:val="20"/>
        </w:rPr>
        <w:t xml:space="preserve">5.250% Series J Cumulative Redeemable Preferred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company’s board of directors and a duly authorized committee thereof approved articles supplementary, a copy of which has been previously filed with the SEC and which is incorporated by reference as an exhibit to the registration statement of which this prospectus is a part, creating the series J preferred stock as a series of the company’s preferred stock, designated as the 5.250% Series J Cumulative Redeemable Preferred Stock. The series J preferred stock is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series J preferred stock is currently listed on the NYSE as “DLR Pr J”. </w:t>
      </w:r>
    </w:p>
    <w:p>
      <w:pPr>
        <w:pStyle w:val="TextBody"/>
        <w:bidi w:val="0"/>
        <w:spacing w:before="360" w:after="0"/>
        <w:jc w:val="left"/>
        <w:rPr>
          <w:rFonts w:ascii="Times New Roman" w:hAnsi="Times New Roman"/>
          <w:b/>
          <w:i/>
          <w:sz w:val="20"/>
        </w:rPr>
      </w:pPr>
      <w:r>
        <w:rPr>
          <w:rFonts w:ascii="Times New Roman" w:hAnsi="Times New Roman"/>
          <w:b/>
          <w:i/>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series J preferred stock ranks, with respect to dividend rights and rights upon the company’s liquidation, dissolution or winding-up: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all classes or series of the common stock and to any other class or series of the company’s stock expressly designated as ranking junior to the series J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parity with any class or series of the company’s stock expressly designated as ranking on parity with the series J preferred stock, including the company’s series K preferred stock and series L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any other class or series of the company’s stock expressly designated as ranking senior to the series J preferred stock.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Dividend Rate and Payment Date </w:t>
      </w:r>
    </w:p>
    <w:p>
      <w:pPr>
        <w:pStyle w:val="TextBody"/>
        <w:bidi w:val="0"/>
        <w:spacing w:before="120" w:after="0"/>
        <w:jc w:val="left"/>
        <w:rPr>
          <w:rFonts w:ascii="Times New Roman" w:hAnsi="Times New Roman"/>
          <w:sz w:val="20"/>
        </w:rPr>
      </w:pPr>
      <w:r>
        <w:rPr>
          <w:rFonts w:ascii="Times New Roman" w:hAnsi="Times New Roman"/>
          <w:sz w:val="20"/>
        </w:rPr>
        <w:t xml:space="preserve">Holders of series J preferred stock are entitled to receive cumulative cash dividends on the series J preferred stock from and including the date of original issue, payable quarterly in arrears on or about the last calendar day of March, June, September and December of each year, at the rate of 5.250% per annum of the $25.00 liquidation preference per share (equivalent to an annual amount of $1.3125 per share). Dividends on the series J preferred stock will accrue whether or not the company has earnings, whether or not there are funds legally available for the payment of such dividends and whether or not such dividends are authorized or declared.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liquidation, dissolution or winding up, holders of the series J preferred stock will have the right to receive $25.00 per share, plus accrued and unpaid dividends (whether or not earned or declared) up to but excluding the date of payment, before any payment is made to holders of the common stock and any other class or series of stock ranking junior to the series J preferred stock as to liquidation rights. The rights of holders of series J preferred stock to receive their liquidation preference will be subject to the proportionate rights of any other class or series of stock ranking on parity with the series J preferred stock as to liquidation.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series J preferred stock is redeemable at the company’s option, in whole or in part at any time or from time to time, for cash at a redemption price of $25.00 per share, plus accrued and unpaid dividends (whether or not authorized or declared) up to but excluding the redemption date. However, unless full cumulative dividends on the series J preferred stock for all past dividend periods have been, or contemporaneously are, paid or an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cash sufficient for the payment thereof is set apart, no shares of series J preferred stock may be redeemed unless all outstanding shares of series J preferred stock are simultaneously redeemed; provided, that the foregoing restriction does not prevent the company from taking action necessary to preserve the company’s status as a REIT. Any partial redemption will be on a pro rata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Change of Control (as defined below), the company may, at its option, redeem the series J preferred stock, in whole or in part within 120 days after the first date on which such Change of Control occurred, by paying $25.00 per share, plus any accrued and unpaid dividends to, but not including, the date of redemption. If, prior to the Change of Control Conversion Date (as defined below), the company exercises any of its redemption rights relating to the series J preferred stock (whether its optional redemption right or its special optional redemption right), the holders of series J preferred stock will not have the conversion right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 “Change of Control” is when, after the original issuance of the series J preferred stock, the following have occurred and are continuing: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closing of any transaction referred to in the bullet point above, neither the company nor the acquiring or surviving entity has a class of common securities (or American Depositary Receipts representing such securities) listed on the NYSE, the NYSE Amex or NASDAQ or listed or quoted on an exchange or quotation system that is a successor to the NYSE, the NYSE Amex or NASDAQ.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 Maturity, Sinking Fund or Mandatory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series J preferred stock has no stated maturity date and the company is not required to redeem the series J preferred stock at any time. Accordingly, the series J preferred stock will remain outstanding indefinitely, unless the company decides, at its option, to exercise its redemption right or, under circumstances where the holders of the series J preferred stock have a conversion right, such holders decide to convert the series J preferred stock into common stock. The series J preferred stock is not subject to any sinking fund.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series J preferred stock generally have no voting rights. However, if the company is in arrears on dividends on the series J preferred stock for six or more quarterly periods, whether or not consecutive, holders of the series J preferred stock (voting together as a class with the holders of all other classes or series of parity preferred stock upon which like voting rights have been conferred and are exercisable) will be entitled to vote at a special meeting called upon the written request of at least 10% of such holders or at the company’s next annual meeting of stockholders and each subsequent annual meeting of stockholders for the election of two additional directors to serve on the company’s board of directors until all unpaid dividends with respect to the series J preferred stock and any other class or series of parity preferred stock have been paid or declared and a sum sufficient for the payment thereof set aside for payment. In addition, the company may not make certain material and adverse changes to the terms of the series J preferred stock without the affirmative vote of the holders of at least two-thirds of the outstanding shares of series J preferred stock and all other shares of any class or series ranking on parity with the series J preferred stock that are entitled to similar voting rights (voting together as a single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Change of Control, each holder of series J preferred stock will have the right (unless, prior to the Change of Control Conversion Date, the company has provided or provides notice of its election to redeem the series J preferred stock) to convert some or all of the series J preferred stock held by such holder on the date the series J preferred stock is to be converted, which we refer to as the Change of Control Conversion Date, into a number of shares of common stock per share of series J preferred stock to be converted equal to the lesser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quotient obtained by dividing (i) the sum of the $25.00 liquidation preference plus the amount of any accrued and unpaid dividends to, but not including, the Change of Control Conversion Date (unless the Change of Control Conversion Date is after a record date for a series J preferred stock dividend payment and prior to the corresponding series J preferred stock dividend payment date, in which case no additional amount for such accrued and unpaid dividends will be included in this sum) by (ii) the Common Stock Price (as defined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0.42521 (i.e., the Share Cap), subject to certain adjustments;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in each case, to provisions for the receipt of alternative consideration as described in the articles supplementary relating to the Series J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Price” will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the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company’s common stock in the over-the-counter market as reported by OTC Markets Group Inc. or similar organization for the ten consecutive trading days immediately preceding, but not including, the effective date of the Change of Control, if the common stock is not then listed for trading on a U.S.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If, prior to the Change of Control Conversion Date, the company has provided or provides a redemption notice, whether pursuant to its special optional redemption right in connection with a Change of Control or its optional redemption right, holders of series J preferred stock will not have any right to convert the series J preferred stock into shares of the common stock in connection with the Change of Control and any shares of series J preferred stock selected for redemption that have been tendered for conversion will be redeemed on the related date of redemption instead of converted on the Change of Control Conversion Date.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above in connection with a Change of Control, the series J preferred stock is not convertible into or exchangeable for any other securities or property.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the series J preferred stock is Equiniti Trust Company, LLC. </w:t>
      </w:r>
    </w:p>
    <w:p>
      <w:pPr>
        <w:pStyle w:val="TextBody"/>
        <w:bidi w:val="0"/>
        <w:spacing w:before="360" w:after="0"/>
        <w:jc w:val="left"/>
        <w:rPr>
          <w:rFonts w:ascii="Times New Roman" w:hAnsi="Times New Roman"/>
          <w:b/>
          <w:sz w:val="20"/>
        </w:rPr>
      </w:pPr>
      <w:r>
        <w:rPr>
          <w:rFonts w:ascii="Times New Roman" w:hAnsi="Times New Roman"/>
          <w:b/>
          <w:sz w:val="20"/>
        </w:rPr>
        <w:t xml:space="preserve">5.850% Series K Cumulative Redeemable Preferred Stock </w:t>
      </w:r>
    </w:p>
    <w:p>
      <w:pPr>
        <w:pStyle w:val="TextBody"/>
        <w:bidi w:val="0"/>
        <w:spacing w:before="120" w:after="0"/>
        <w:jc w:val="left"/>
        <w:rPr>
          <w:rFonts w:ascii="Times New Roman" w:hAnsi="Times New Roman"/>
          <w:b/>
          <w:i/>
          <w:sz w:val="20"/>
        </w:rPr>
      </w:pPr>
      <w:r>
        <w:rPr>
          <w:rFonts w:ascii="Times New Roman" w:hAnsi="Times New Roman"/>
          <w:b/>
          <w:i/>
          <w:sz w:val="20"/>
        </w:rPr>
        <w:t>General</w:t>
      </w:r>
    </w:p>
    <w:p>
      <w:pPr>
        <w:pStyle w:val="TextBody"/>
        <w:bidi w:val="0"/>
        <w:spacing w:before="120" w:after="0"/>
        <w:jc w:val="left"/>
        <w:rPr>
          <w:rFonts w:ascii="Times New Roman" w:hAnsi="Times New Roman"/>
          <w:sz w:val="20"/>
        </w:rPr>
      </w:pPr>
      <w:r>
        <w:rPr>
          <w:rFonts w:ascii="Times New Roman" w:hAnsi="Times New Roman"/>
          <w:sz w:val="20"/>
        </w:rPr>
        <w:t xml:space="preserve">The company’s board of directors and a duly authorized committee thereof approved articles supplementary, a copy of which has been previously filed with the SEC and which is incorporated by reference as an exhibit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registration statement of which this prospectus is a part, creating the series K preferred stock as a series of DLR’s preferred stock, designated as the 5.850% Series K Cumulative Redeemable Preferred Stock. The series K preferred stock is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series K preferred stock is currently listed on the NYSE as “DLR Pr K”. </w:t>
      </w:r>
    </w:p>
    <w:p>
      <w:pPr>
        <w:pStyle w:val="TextBody"/>
        <w:bidi w:val="0"/>
        <w:spacing w:before="360" w:after="0"/>
        <w:jc w:val="left"/>
        <w:rPr>
          <w:rFonts w:ascii="Times New Roman" w:hAnsi="Times New Roman"/>
          <w:b/>
          <w:i/>
          <w:sz w:val="20"/>
        </w:rPr>
      </w:pPr>
      <w:r>
        <w:rPr>
          <w:rFonts w:ascii="Times New Roman" w:hAnsi="Times New Roman"/>
          <w:b/>
          <w:i/>
          <w:sz w:val="20"/>
        </w:rPr>
        <w:t>Ranking</w:t>
      </w:r>
    </w:p>
    <w:p>
      <w:pPr>
        <w:pStyle w:val="TextBody"/>
        <w:bidi w:val="0"/>
        <w:spacing w:before="120" w:after="0"/>
        <w:jc w:val="left"/>
        <w:rPr>
          <w:rFonts w:ascii="Times New Roman" w:hAnsi="Times New Roman"/>
          <w:sz w:val="20"/>
        </w:rPr>
      </w:pPr>
      <w:r>
        <w:rPr>
          <w:rFonts w:ascii="Times New Roman" w:hAnsi="Times New Roman"/>
          <w:sz w:val="20"/>
        </w:rPr>
        <w:t xml:space="preserve">The series K preferred stock ranks, with respect to dividend rights and rights upon the company’s liquidation, dissolution or winding-up: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all classes or series of the common stock and to any other class or series of stock expressly designated as ranking junior to the series K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parity with any class or series of stock expressly designated as ranking on parity with the series K preferred stock, including the company’s series J preferred stock and series L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any other class or series of stock expressly designated as ranking senior to the series K preferred stock. </w:t>
            </w:r>
          </w:p>
        </w:tc>
      </w:tr>
    </w:tbl>
    <w:p>
      <w:pPr>
        <w:pStyle w:val="TextBody"/>
        <w:bidi w:val="0"/>
        <w:spacing w:before="360" w:after="0"/>
        <w:jc w:val="left"/>
        <w:rPr>
          <w:rFonts w:ascii="Times New Roman" w:hAnsi="Times New Roman"/>
          <w:b/>
          <w:i/>
          <w:sz w:val="20"/>
        </w:rPr>
      </w:pPr>
      <w:r>
        <w:rPr>
          <w:rFonts w:ascii="Times New Roman" w:hAnsi="Times New Roman"/>
          <w:b/>
          <w:i/>
          <w:sz w:val="20"/>
        </w:rPr>
        <w:t>Dividend Rate and Payment Date</w:t>
      </w:r>
    </w:p>
    <w:p>
      <w:pPr>
        <w:pStyle w:val="TextBody"/>
        <w:bidi w:val="0"/>
        <w:spacing w:before="120" w:after="0"/>
        <w:jc w:val="left"/>
        <w:rPr>
          <w:rFonts w:ascii="Times New Roman" w:hAnsi="Times New Roman"/>
          <w:sz w:val="20"/>
        </w:rPr>
      </w:pPr>
      <w:r>
        <w:rPr>
          <w:rFonts w:ascii="Times New Roman" w:hAnsi="Times New Roman"/>
          <w:sz w:val="20"/>
        </w:rPr>
        <w:t xml:space="preserve">Holders of series K preferred stock are entitled to receive cumulative cash dividends on the series K preferred stock from and including the date of original issue, payable quarterly in arrears on or about the last calendar day of March, June, September and December of each year, at the rate of 5.850% per annum of the $25.00 liquidation preference per share (equivalent to an annual amount of $1.4625 per share). Dividends on the series K preferred stock will accrue whether or not the company has earnings, whether or not there are funds legally available for the payment of such dividends and whether or not such dividends are authorized or declared. </w:t>
      </w:r>
    </w:p>
    <w:p>
      <w:pPr>
        <w:pStyle w:val="TextBody"/>
        <w:bidi w:val="0"/>
        <w:spacing w:before="360" w:after="0"/>
        <w:jc w:val="left"/>
        <w:rPr>
          <w:rFonts w:ascii="Times New Roman" w:hAnsi="Times New Roman"/>
          <w:b/>
          <w:i/>
          <w:sz w:val="20"/>
        </w:rPr>
      </w:pPr>
      <w:r>
        <w:rPr>
          <w:rFonts w:ascii="Times New Roman" w:hAnsi="Times New Roman"/>
          <w:b/>
          <w:i/>
          <w:sz w:val="20"/>
        </w:rPr>
        <w:t>Liquidation Preference</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liquidation, dissolution or winding up, holders of the series K preferred stock will have the right to receive $25.00 per share, plus accrued and unpaid dividends (whether or not earned or declared) up to but excluding the date of payment, before any payment is made to holders of the common stock and any other class or series of stock ranking junior to the series K preferred stock as to liquidation rights. The rights of holders of series K preferred stock to receive their liquidation preference will be subject to the proportionate rights of any other class or series of stock ranking on parity with the series K preferred stock as to liquidation. </w:t>
      </w:r>
    </w:p>
    <w:p>
      <w:pPr>
        <w:pStyle w:val="TextBody"/>
        <w:bidi w:val="0"/>
        <w:spacing w:before="360" w:after="0"/>
        <w:jc w:val="left"/>
        <w:rPr>
          <w:rFonts w:ascii="Times New Roman" w:hAnsi="Times New Roman"/>
          <w:b/>
          <w:i/>
          <w:sz w:val="20"/>
        </w:rPr>
      </w:pPr>
      <w:r>
        <w:rPr>
          <w:rFonts w:ascii="Times New Roman" w:hAnsi="Times New Roman"/>
          <w:b/>
          <w:i/>
          <w:sz w:val="20"/>
        </w:rPr>
        <w:t>Optional Redemption</w:t>
      </w:r>
    </w:p>
    <w:p>
      <w:pPr>
        <w:pStyle w:val="TextBody"/>
        <w:bidi w:val="0"/>
        <w:spacing w:before="120" w:after="0"/>
        <w:jc w:val="left"/>
        <w:rPr>
          <w:rFonts w:ascii="Times New Roman" w:hAnsi="Times New Roman"/>
          <w:sz w:val="20"/>
        </w:rPr>
      </w:pPr>
      <w:r>
        <w:rPr>
          <w:rFonts w:ascii="Times New Roman" w:hAnsi="Times New Roman"/>
          <w:sz w:val="20"/>
        </w:rPr>
        <w:t xml:space="preserve">The series K preferred stock is redeemable at the company’s option, in whole or in part at any time or from time to time, for cash at a redemption price of $25.00 per share, plus accrued and unpaid dividends (whether or not authorized or declared) up to but excluding the redemption date. However, unless full cumulative dividends on the series K preferred stock for all past dividend periods have been, or contemporaneously are, paid or an amount in cash sufficient for the payment thereof is set apart, no shares of series K preferred stock may be redeemed unless all outstanding shares of series K preferred stock are simultaneously redeemed; provided, that the foregoing restriction does not prevent the company from taking action necessary to preserve its status as a REIT. Any partial redemption will be on a pro rata basis. </w:t>
      </w:r>
    </w:p>
    <w:p>
      <w:pPr>
        <w:pStyle w:val="TextBody"/>
        <w:bidi w:val="0"/>
        <w:spacing w:before="360" w:after="0"/>
        <w:jc w:val="left"/>
        <w:rPr>
          <w:rFonts w:ascii="Times New Roman" w:hAnsi="Times New Roman"/>
          <w:b/>
          <w:i/>
          <w:sz w:val="20"/>
        </w:rPr>
      </w:pPr>
      <w:r>
        <w:rPr>
          <w:rFonts w:ascii="Times New Roman" w:hAnsi="Times New Roman"/>
          <w:b/>
          <w:i/>
          <w:sz w:val="20"/>
        </w:rPr>
        <w:t>Special Optional Redemption</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Change of Control (as defined below), the company may, at its option, redeem the series K preferred stock, in whole or in part within 120 days after the first date on which such Change of Control occurred, by paying $25.00 per share, plus any accrued and unpaid dividends to, but not including, the date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redemption. If, prior to the Change of Control Conversion Date (as defined below), the company exercises any of its redemption rights relating to the series K preferred stock (whether its optional redemption right or its special optional redemption right), the holders of series K preferred stock will not have the conversion right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 “Change of Control” is when, after the original issuance of the series K preferred stock, the following have occurred and are continuing: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closing of any transaction referred to in the bullet point above, neither the company nor the acquiring or surviving entity has a class of common securities (or American Depositary Receipts representing such securities) listed on the NYSE, the NYSE Amex or NASDAQ or listed or quoted on an exchange or quotation system that is a successor to the NYSE, the NYSE Amex or NASDAQ. </w:t>
            </w:r>
          </w:p>
        </w:tc>
      </w:tr>
    </w:tbl>
    <w:p>
      <w:pPr>
        <w:pStyle w:val="TextBody"/>
        <w:bidi w:val="0"/>
        <w:spacing w:before="360" w:after="0"/>
        <w:jc w:val="left"/>
        <w:rPr>
          <w:rFonts w:ascii="Times New Roman" w:hAnsi="Times New Roman"/>
          <w:b/>
          <w:i/>
          <w:sz w:val="20"/>
        </w:rPr>
      </w:pPr>
      <w:r>
        <w:rPr>
          <w:rFonts w:ascii="Times New Roman" w:hAnsi="Times New Roman"/>
          <w:b/>
          <w:i/>
          <w:sz w:val="20"/>
        </w:rPr>
        <w:t>No Maturity, Sinking Fund or Mandatory Redemption</w:t>
      </w:r>
    </w:p>
    <w:p>
      <w:pPr>
        <w:pStyle w:val="TextBody"/>
        <w:bidi w:val="0"/>
        <w:spacing w:before="120" w:after="0"/>
        <w:jc w:val="left"/>
        <w:rPr>
          <w:rFonts w:ascii="Times New Roman" w:hAnsi="Times New Roman"/>
          <w:sz w:val="20"/>
        </w:rPr>
      </w:pPr>
      <w:r>
        <w:rPr>
          <w:rFonts w:ascii="Times New Roman" w:hAnsi="Times New Roman"/>
          <w:sz w:val="20"/>
        </w:rPr>
        <w:t xml:space="preserve">The series K preferred stock has no stated maturity date and the company is not required to redeem the series K preferred stock at any time. Accordingly, the series K preferred stock will remain outstanding indefinitely, unless the company decides, at its option, to exercise its redemption right or, under circumstances where the holders of the series K preferred stock have a conversion right, such holders decide to convert the series K preferred stock into common stock. The series K preferred stock is not subject to any sinking fund. </w:t>
      </w:r>
    </w:p>
    <w:p>
      <w:pPr>
        <w:pStyle w:val="TextBody"/>
        <w:bidi w:val="0"/>
        <w:spacing w:before="360" w:after="0"/>
        <w:jc w:val="left"/>
        <w:rPr>
          <w:rFonts w:ascii="Times New Roman" w:hAnsi="Times New Roman"/>
          <w:b/>
          <w:i/>
          <w:sz w:val="20"/>
        </w:rPr>
      </w:pPr>
      <w:r>
        <w:rPr>
          <w:rFonts w:ascii="Times New Roman" w:hAnsi="Times New Roman"/>
          <w:b/>
          <w:i/>
          <w:sz w:val="20"/>
        </w:rPr>
        <w:t>Voting Rights</w:t>
      </w:r>
    </w:p>
    <w:p>
      <w:pPr>
        <w:pStyle w:val="TextBody"/>
        <w:bidi w:val="0"/>
        <w:spacing w:before="120" w:after="0"/>
        <w:jc w:val="left"/>
        <w:rPr>
          <w:rFonts w:ascii="Times New Roman" w:hAnsi="Times New Roman"/>
          <w:sz w:val="20"/>
        </w:rPr>
      </w:pPr>
      <w:r>
        <w:rPr>
          <w:rFonts w:ascii="Times New Roman" w:hAnsi="Times New Roman"/>
          <w:sz w:val="20"/>
        </w:rPr>
        <w:t xml:space="preserve">Holders of series K preferred stock generally have no voting rights. However, if the company is in arrears on dividends on the series K preferred stock for six or more quarterly periods, whether or not consecutive, holders of the series K preferred stock (voting together as a class with the holders of all other classes or series of parity preferred stock upon which like voting rights have been conferred and are exercisable) will be entitled to vote at a special meeting called upon the written request of at least 10% of such holders or at the next annual meeting of stockholders and each subsequent annual meeting of stockholders for the election of two additional directors to serve on the company’s board until all unpaid dividends with respect to the series K preferred stock and any other class or series of parity preferred stock have been paid or declared and a sum sufficient for the payment thereof set aside for payment. In addition, the company may not make certain material and adverse changes to the terms of the series K preferred stock without the affirmative vote of the holders of at least two-thirds of the outstanding shares of series K preferred stock and all other shares of any class or series ranking on parity with the series K preferred stock that are entitled to similar voting rights (voting together as a single class). </w:t>
      </w:r>
    </w:p>
    <w:p>
      <w:pPr>
        <w:pStyle w:val="TextBody"/>
        <w:bidi w:val="0"/>
        <w:spacing w:before="360" w:after="0"/>
        <w:jc w:val="left"/>
        <w:rPr>
          <w:rFonts w:ascii="Times New Roman" w:hAnsi="Times New Roman"/>
          <w:b/>
          <w:i/>
          <w:sz w:val="20"/>
        </w:rPr>
      </w:pPr>
      <w:r>
        <w:rPr>
          <w:rFonts w:ascii="Times New Roman" w:hAnsi="Times New Roman"/>
          <w:b/>
          <w:i/>
          <w:sz w:val="20"/>
        </w:rPr>
        <w:t>Conversion</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Change of Control, each holder of series K preferred stock will have the right (unless, prior to the Change of Control Conversion Date, the company has provided or provides notice of its election to redeem the series K preferred stock) to convert some or all of the series K preferred stock held by such holder on the date the series K preferred stock is to be converted, which we refer to as the Change of Control Conversion Date, into a number of shares of common stock per share of series K preferred stock to be converted equal to the lesser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quotient obtained by dividing (i) the sum of the $25.00 liquidation preference plus the amount of any accrued and unpaid dividends to, but not including, the Change of Control Conversion Date (unless the Change of Control Conversion Date is after a record date for a series K preferred stock dividend payment and prior to the corresponding series K preferred stock dividend payment date, in which case no additional amount for such accrued and unpaid dividends will be included in this sum) by (ii) the Common Stock Price (as defined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0.43611 (i.e., the Share Cap), subject to certain adjustments;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in each case, to provisions for the receipt of alternative consideration as described in the articles supplementary relating to the Series K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Price” will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the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company’s common stock in the over-the-counter market as reported by OTC Markets Group Inc. or similar organization for the ten consecutive trading days immediately preceding, but not including, the effective date of the Change of Control, if the common stock is not then listed for trading on a U.S. securities exchange. </w:t>
      </w:r>
    </w:p>
    <w:p>
      <w:pPr>
        <w:pStyle w:val="TextBody"/>
        <w:bidi w:val="0"/>
        <w:spacing w:before="0" w:after="0"/>
        <w:jc w:val="left"/>
        <w:rPr>
          <w:rFonts w:ascii="Times New Roman" w:hAnsi="Times New Roman"/>
          <w:sz w:val="20"/>
        </w:rPr>
      </w:pPr>
      <w:r>
        <w:rPr>
          <w:rFonts w:ascii="Times New Roman" w:hAnsi="Times New Roman"/>
          <w:sz w:val="20"/>
        </w:rPr>
        <w:t xml:space="preserve">If, prior to the Change of Control Conversion Date, the company has provided or provides a redemption notice, whether pursuant to its special optional redemption right in connection with a Change of Control or its optional redemption right, holders of series K preferred stock will not have any right to convert the series K preferred stock into shares of the common stock in connection with the Change of Control and any shares of series K preferred stock selected for redemption that have been tendered for conversion will be redeemed on the related date of redemption instead of converted on the Change of Control Conversion Date.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above in connection with a Change of Control, the series K preferred stock is not convertible into or exchangeable for any other securities or property. </w:t>
      </w:r>
    </w:p>
    <w:p>
      <w:pPr>
        <w:pStyle w:val="TextBody"/>
        <w:bidi w:val="0"/>
        <w:spacing w:before="360" w:after="0"/>
        <w:jc w:val="left"/>
        <w:rPr>
          <w:rFonts w:ascii="Times New Roman" w:hAnsi="Times New Roman"/>
          <w:b/>
          <w:i/>
          <w:sz w:val="20"/>
        </w:rPr>
      </w:pPr>
      <w:r>
        <w:rPr>
          <w:rFonts w:ascii="Times New Roman" w:hAnsi="Times New Roman"/>
          <w:b/>
          <w:i/>
          <w:sz w:val="20"/>
        </w:rPr>
        <w:t>Transfer Agent and Registrar</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the series K preferred stock is Equiniti Trust Company, LLC. </w:t>
      </w:r>
    </w:p>
    <w:p>
      <w:pPr>
        <w:pStyle w:val="TextBody"/>
        <w:bidi w:val="0"/>
        <w:spacing w:before="360" w:after="0"/>
        <w:jc w:val="left"/>
        <w:rPr>
          <w:rFonts w:ascii="Times New Roman" w:hAnsi="Times New Roman"/>
          <w:b/>
          <w:sz w:val="20"/>
        </w:rPr>
      </w:pPr>
      <w:r>
        <w:rPr>
          <w:rFonts w:ascii="Times New Roman" w:hAnsi="Times New Roman"/>
          <w:b/>
          <w:sz w:val="20"/>
        </w:rPr>
        <w:t xml:space="preserve">5.200% Series L Cumulative Redeemable Preferred Stock </w:t>
      </w:r>
    </w:p>
    <w:p>
      <w:pPr>
        <w:pStyle w:val="TextBody"/>
        <w:bidi w:val="0"/>
        <w:spacing w:before="120" w:after="0"/>
        <w:jc w:val="left"/>
        <w:rPr>
          <w:rFonts w:ascii="Times New Roman" w:hAnsi="Times New Roman"/>
          <w:b/>
          <w:i/>
          <w:sz w:val="20"/>
        </w:rPr>
      </w:pPr>
      <w:r>
        <w:rPr>
          <w:rFonts w:ascii="Times New Roman" w:hAnsi="Times New Roman"/>
          <w:b/>
          <w:i/>
          <w:sz w:val="20"/>
        </w:rPr>
        <w:t>General</w:t>
      </w:r>
    </w:p>
    <w:p>
      <w:pPr>
        <w:pStyle w:val="TextBody"/>
        <w:bidi w:val="0"/>
        <w:spacing w:before="120" w:after="0"/>
        <w:jc w:val="left"/>
        <w:rPr>
          <w:rFonts w:ascii="Times New Roman" w:hAnsi="Times New Roman"/>
          <w:sz w:val="20"/>
        </w:rPr>
      </w:pPr>
      <w:r>
        <w:rPr>
          <w:rFonts w:ascii="Times New Roman" w:hAnsi="Times New Roman"/>
          <w:sz w:val="20"/>
        </w:rPr>
        <w:t xml:space="preserve">The company’s board of directors and a duly authorized committee thereof approved articles supplementary, a copy of which has been previously filed with the SEC and which is incorporated by reference as an exhibit to the registration statement of which this prospectus is a part, creating the series L preferred stock as a series of the company’s preferred stock, designated as the 5.200% Series L Cumulative Redeemable Preferred Stock. The series L preferred stock is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series L preferred stock is currently listed on the NYSE as “DLR Pr L”. </w:t>
      </w:r>
    </w:p>
    <w:p>
      <w:pPr>
        <w:pStyle w:val="TextBody"/>
        <w:bidi w:val="0"/>
        <w:spacing w:before="360" w:after="0"/>
        <w:jc w:val="left"/>
        <w:rPr>
          <w:rFonts w:ascii="Times New Roman" w:hAnsi="Times New Roman"/>
          <w:b/>
          <w:i/>
          <w:sz w:val="20"/>
        </w:rPr>
      </w:pPr>
      <w:r>
        <w:rPr>
          <w:rFonts w:ascii="Times New Roman" w:hAnsi="Times New Roman"/>
          <w:b/>
          <w:i/>
          <w:sz w:val="20"/>
        </w:rPr>
        <w:t>Ranking</w:t>
      </w:r>
    </w:p>
    <w:p>
      <w:pPr>
        <w:pStyle w:val="TextBody"/>
        <w:bidi w:val="0"/>
        <w:spacing w:before="120" w:after="0"/>
        <w:jc w:val="left"/>
        <w:rPr>
          <w:rFonts w:ascii="Times New Roman" w:hAnsi="Times New Roman"/>
          <w:sz w:val="20"/>
        </w:rPr>
      </w:pPr>
      <w:r>
        <w:rPr>
          <w:rFonts w:ascii="Times New Roman" w:hAnsi="Times New Roman"/>
          <w:sz w:val="20"/>
        </w:rPr>
        <w:t xml:space="preserve">The series L preferred stock ranks, with respect to dividend rights and rights upon the company’s liquidation, dissolution or winding-up: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all classes or series of the common stock and to any other class or series of stock expressly designated as ranking junior to the series L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parity with any class or series of stock expressly designated as ranking on parity with the series L preferred stock, including the company’s series J preferred stock and series K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any other class or series of stock expressly designated as ranking senior to the series L preferred stock. </w:t>
            </w:r>
          </w:p>
        </w:tc>
      </w:tr>
    </w:tbl>
    <w:p>
      <w:pPr>
        <w:pStyle w:val="TextBody"/>
        <w:bidi w:val="0"/>
        <w:spacing w:before="360" w:after="0"/>
        <w:jc w:val="left"/>
        <w:rPr>
          <w:rFonts w:ascii="Times New Roman" w:hAnsi="Times New Roman"/>
          <w:b/>
          <w:i/>
          <w:sz w:val="20"/>
        </w:rPr>
      </w:pPr>
      <w:r>
        <w:rPr>
          <w:rFonts w:ascii="Times New Roman" w:hAnsi="Times New Roman"/>
          <w:b/>
          <w:i/>
          <w:sz w:val="20"/>
        </w:rPr>
        <w:t>Dividend Rate and Payment Date</w:t>
      </w:r>
    </w:p>
    <w:p>
      <w:pPr>
        <w:pStyle w:val="TextBody"/>
        <w:bidi w:val="0"/>
        <w:spacing w:before="120" w:after="0"/>
        <w:jc w:val="left"/>
        <w:rPr>
          <w:rFonts w:ascii="Times New Roman" w:hAnsi="Times New Roman"/>
          <w:sz w:val="20"/>
        </w:rPr>
      </w:pPr>
      <w:r>
        <w:rPr>
          <w:rFonts w:ascii="Times New Roman" w:hAnsi="Times New Roman"/>
          <w:sz w:val="20"/>
        </w:rPr>
        <w:t xml:space="preserve">Holders of series L preferred stock are entitled to receive cumulative cash dividends on the series L preferred stock from and including the date of original issue, payable quarterly in arrears on or about the last calendar day of March, June, September and December of each year, at the rate of 5.200% per annum of the $25.00 liquidation preference per share (equivalent to an annual amount of $1.30 per share). Dividends on the series L preferred stock will accrue whether or not the company has earnings, whether or not there are funds legally available for the payment of such dividends and whether or not such dividends are authorized or declared. </w:t>
      </w:r>
    </w:p>
    <w:p>
      <w:pPr>
        <w:pStyle w:val="TextBody"/>
        <w:bidi w:val="0"/>
        <w:spacing w:before="360" w:after="0"/>
        <w:jc w:val="left"/>
        <w:rPr>
          <w:rFonts w:ascii="Times New Roman" w:hAnsi="Times New Roman"/>
          <w:b/>
          <w:i/>
          <w:sz w:val="20"/>
        </w:rPr>
      </w:pPr>
      <w:r>
        <w:rPr>
          <w:rFonts w:ascii="Times New Roman" w:hAnsi="Times New Roman"/>
          <w:b/>
          <w:i/>
          <w:sz w:val="20"/>
        </w:rPr>
        <w:t>Liquidation Preference</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liquidation, dissolution or winding up, holders of the series L preferred stock will have the right to receive $25.00 per share, plus accrued and unpaid dividends (whether or not earned or declared) up to but excluding the date of payment, before any payment is made to holders of the common stock and any other class or series of stock ranking junior to the series L preferred stock as to liquidation rights. The rights of holders of series L preferred stock to receive their liquidation preference will be subject to the proportionate rights of any other class or series of stock ranking on parity with the series L preferred stock as to liquidation. </w:t>
      </w:r>
    </w:p>
    <w:p>
      <w:pPr>
        <w:pStyle w:val="TextBody"/>
        <w:bidi w:val="0"/>
        <w:spacing w:before="360" w:after="0"/>
        <w:jc w:val="left"/>
        <w:rPr>
          <w:rFonts w:ascii="Times New Roman" w:hAnsi="Times New Roman"/>
          <w:b/>
          <w:i/>
          <w:sz w:val="20"/>
        </w:rPr>
      </w:pPr>
      <w:r>
        <w:rPr>
          <w:rFonts w:ascii="Times New Roman" w:hAnsi="Times New Roman"/>
          <w:b/>
          <w:i/>
          <w:sz w:val="20"/>
        </w:rPr>
        <w:t>Optional Redemption</w:t>
      </w:r>
    </w:p>
    <w:p>
      <w:pPr>
        <w:pStyle w:val="TextBody"/>
        <w:bidi w:val="0"/>
        <w:spacing w:before="120" w:after="0"/>
        <w:jc w:val="left"/>
        <w:rPr>
          <w:rFonts w:ascii="Times New Roman" w:hAnsi="Times New Roman"/>
          <w:sz w:val="20"/>
        </w:rPr>
      </w:pPr>
      <w:r>
        <w:rPr>
          <w:rFonts w:ascii="Times New Roman" w:hAnsi="Times New Roman"/>
          <w:sz w:val="20"/>
        </w:rPr>
        <w:t xml:space="preserve">The series L preferred stock is redeemable at the company’s option, in whole or in part at any time or from time to time, for cash at a redemption price of $25.00 per share, plus accrued and unpaid dividends (whether or not authorized or declared) up to but excluding the redemption date. However, unless full cumulative dividends on the series L preferred stock for all past dividend periods have been, or contemporaneously are, paid or an amount in cash sufficient for the payment thereof is set apart, no shares of series L preferred stock may be redeemed unless all outstanding shares of series L preferred stock are simultaneously redeemed; provided, that the foregoing restriction does not prevent the company from taking action necessary to preserve its status as a REIT. Any partial redemption will be on a pro rata basis. </w:t>
      </w:r>
    </w:p>
    <w:p>
      <w:pPr>
        <w:pStyle w:val="TextBody"/>
        <w:bidi w:val="0"/>
        <w:spacing w:before="360" w:after="0"/>
        <w:jc w:val="left"/>
        <w:rPr>
          <w:rFonts w:ascii="Times New Roman" w:hAnsi="Times New Roman"/>
          <w:b/>
          <w:i/>
          <w:sz w:val="20"/>
        </w:rPr>
      </w:pPr>
      <w:r>
        <w:rPr>
          <w:rFonts w:ascii="Times New Roman" w:hAnsi="Times New Roman"/>
          <w:b/>
          <w:i/>
          <w:sz w:val="20"/>
        </w:rPr>
        <w:t>Special Optional Redemption</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Change of Control, (as defined below) the company may, at its option, redeem the series L preferred stock, in whole or in part within 120 days after the first date on which such Change of Control occurred, by paying $25.00 per share, plus any accrued and unpaid dividends to, but not including, the date of redemption. If, prior to the Change of Control Conversion Date (as defined below), the company exercises any of its redemption rights relating to the series L preferred stock (whether its optional redemption right or its special optional redemption right), the holders of series L preferred stock will not have the conversion right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 “Change of Control” is when, after the original issuance of the series L preferred stock, the following have occurred and are continuing: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by any person, including any syndicate or group deemed to be a “person” under Section 13(d)(3) of the Exchange Act, of beneficial ownership, directly or indirectly, through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closing of any transaction referred to in the bullet point above, neither the company nor the acquiring or surviving entity has a class of common securities (or American Depositary Receipts representing such securities) listed on the NYSE, the NYSE Amex or NASDAQ or listed or quoted on an exchange or quotation system that is a successor to the NYSE, the NYSE Amex or NASDAQ. </w:t>
            </w:r>
          </w:p>
        </w:tc>
      </w:tr>
    </w:tbl>
    <w:p>
      <w:pPr>
        <w:pStyle w:val="TextBody"/>
        <w:bidi w:val="0"/>
        <w:spacing w:before="360" w:after="0"/>
        <w:jc w:val="left"/>
        <w:rPr>
          <w:rFonts w:ascii="Times New Roman" w:hAnsi="Times New Roman"/>
          <w:b/>
          <w:i/>
          <w:sz w:val="20"/>
        </w:rPr>
      </w:pPr>
      <w:r>
        <w:rPr>
          <w:rFonts w:ascii="Times New Roman" w:hAnsi="Times New Roman"/>
          <w:b/>
          <w:i/>
          <w:sz w:val="20"/>
        </w:rPr>
        <w:t>No Maturity, Sinking Fund or Mandatory Redemption</w:t>
      </w:r>
    </w:p>
    <w:p>
      <w:pPr>
        <w:pStyle w:val="TextBody"/>
        <w:bidi w:val="0"/>
        <w:spacing w:before="120" w:after="0"/>
        <w:jc w:val="left"/>
        <w:rPr>
          <w:rFonts w:ascii="Times New Roman" w:hAnsi="Times New Roman"/>
          <w:sz w:val="20"/>
        </w:rPr>
      </w:pPr>
      <w:r>
        <w:rPr>
          <w:rFonts w:ascii="Times New Roman" w:hAnsi="Times New Roman"/>
          <w:sz w:val="20"/>
        </w:rPr>
        <w:t xml:space="preserve">The series L preferred stock has no stated maturity date and the company is not required to redeem the series L preferred stock at any time. Accordingly, the series L preferred stock will remain outstanding indefinitely, unless the company decides, at its option, to exercise its redemption right or, under circumstances where the holders of the series L preferred stock have a conversion right, such holders decide to convert the series L preferred stock into common stock. The series L preferred stock is not subject to any sinking fund. </w:t>
      </w:r>
    </w:p>
    <w:p>
      <w:pPr>
        <w:pStyle w:val="TextBody"/>
        <w:bidi w:val="0"/>
        <w:spacing w:before="360" w:after="0"/>
        <w:jc w:val="left"/>
        <w:rPr>
          <w:rFonts w:ascii="Times New Roman" w:hAnsi="Times New Roman"/>
          <w:b/>
          <w:i/>
          <w:sz w:val="20"/>
        </w:rPr>
      </w:pPr>
      <w:r>
        <w:rPr>
          <w:rFonts w:ascii="Times New Roman" w:hAnsi="Times New Roman"/>
          <w:b/>
          <w:i/>
          <w:sz w:val="20"/>
        </w:rPr>
        <w:t>Voting Rights</w:t>
      </w:r>
    </w:p>
    <w:p>
      <w:pPr>
        <w:pStyle w:val="TextBody"/>
        <w:bidi w:val="0"/>
        <w:spacing w:before="120" w:after="0"/>
        <w:jc w:val="left"/>
        <w:rPr>
          <w:rFonts w:ascii="Times New Roman" w:hAnsi="Times New Roman"/>
          <w:sz w:val="20"/>
        </w:rPr>
      </w:pPr>
      <w:r>
        <w:rPr>
          <w:rFonts w:ascii="Times New Roman" w:hAnsi="Times New Roman"/>
          <w:sz w:val="20"/>
        </w:rPr>
        <w:t xml:space="preserve">Holders of series L preferred stock generally have no voting rights. However, if the company is in arrears on dividends on the series L preferred stock for six or more quarterly periods, whether or not consecutive, holders of the series L preferred stock (voting together as a class with the holders of all other classes or series of parity preferred stock upon which like voting rights have been conferred and are exercisable) will be entitled to vote at a special meeting called upon the written request of at least 10% of such holders or at the next annual meeting of stockholders and each subsequent annual meeting of stockholders for the election of two additional directors to serve on the company’s board of directors until all unpaid dividends with respect to the series L preferred stock and any other class or series of parity preferred stock have been paid or declared and a sum sufficient for the payment thereof set aside for payment. In addition, the company may not make certain material and adverse changes to the terms of the series L preferred stock without the affirmative vote of the holders of at least two-thirds of the outstanding shares of series L preferred stock and all other shares of any class or series ranking on parity with the series L preferred stock that are entitled to similar voting rights (voting together as a single class). </w:t>
      </w:r>
    </w:p>
    <w:p>
      <w:pPr>
        <w:pStyle w:val="TextBody"/>
        <w:bidi w:val="0"/>
        <w:spacing w:before="360" w:after="0"/>
        <w:jc w:val="left"/>
        <w:rPr>
          <w:rFonts w:ascii="Times New Roman" w:hAnsi="Times New Roman"/>
          <w:b/>
          <w:i/>
          <w:sz w:val="20"/>
        </w:rPr>
      </w:pPr>
      <w:r>
        <w:rPr>
          <w:rFonts w:ascii="Times New Roman" w:hAnsi="Times New Roman"/>
          <w:b/>
          <w:i/>
          <w:sz w:val="20"/>
        </w:rPr>
        <w:t>Conversion</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Change of Control, each holder of series L preferred stock will have the right (unless, prior to the Change of Control Conversion Date, the company has provided or provides notice of its election to redeem the series L preferred stock) to convert some or all of the series L preferred stock held by such holder on the date the series L preferred stock is to be converted, which we refer to as the Change of Control Conversion Date, into a number of shares of common stock per share of series L preferred stock to be converted equal to the lesser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quotient obtained by dividing (i) the sum of the $25.00 liquidation preference plus the amount of any accrued and unpaid dividends to, but not including, the Change of Control Conversion Date (unless the Change of Control Conversion Date is after a record date for a series L preferred stock dividend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and prior to the corresponding series L preferred stock dividend payment date, in which case no additional amount for such accrued and unpaid dividends will be included in this sum) by (ii) the Common Stock Price (as defined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0.38518 (i.e., the Share Cap), subject to certain adjustments;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in each case, to provisions for the receipt of alternative consideration as described in the articles supplementary relating to the Series L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Price” will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the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company’s common stock in the over-the-counter market as reported by OTC Markets Group Inc. or similar organization for the ten consecutive trading days immediately preceding, but not including, the effective date of the Change of Control, if the common stock is not then listed for trading on a U.S.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If, prior to the Change of Control Conversion Date, the company has provided or provides a redemption notice, whether pursuant to its special optional redemption right in connection with a Change of Control or its optional redemption right, holders of series L preferred stock will not have any right to convert the series L preferred stock into shares of the common stock in connection with the Change of Control and any shares of series L preferred stock selected for redemption that have been tendered for conversion will be redeemed on the related date of redemption instead of converted on the Change of Control Conversion Date.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above in connection with a Change of Control, the series L preferred stock is not convertible into or exchangeable for any other securities or property. </w:t>
      </w:r>
    </w:p>
    <w:p>
      <w:pPr>
        <w:pStyle w:val="TextBody"/>
        <w:bidi w:val="0"/>
        <w:spacing w:before="360" w:after="0"/>
        <w:jc w:val="left"/>
        <w:rPr>
          <w:rFonts w:ascii="Times New Roman" w:hAnsi="Times New Roman"/>
          <w:b/>
          <w:i/>
          <w:sz w:val="20"/>
        </w:rPr>
      </w:pPr>
      <w:r>
        <w:rPr>
          <w:rFonts w:ascii="Times New Roman" w:hAnsi="Times New Roman"/>
          <w:b/>
          <w:i/>
          <w:sz w:val="20"/>
        </w:rPr>
        <w:t>Transfer Agent and Registrar</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the series L preferred stock is Equiniti Trust Company,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914399_9"/>
      <w:bookmarkEnd w:id="23"/>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its option, elect to offer depositary shares rather than full shares of preferred stock. Each depositary share will represent ownership of and entitlement to all rights and preferences of a fraction of a share of preferred stock of a specified series (including dividend, voting, redemption and liquidation rights). The applicable fraction will be specified in a prospectus supplement. The shares of preferred stock represented by the depositary shares will be deposited with a depositary named in the applicable prospectus supplement, under a deposit agreement, among the company, the depositary and the holders of the certificates evidencing depositary shares, or depositary receipts. Depositary receipts will be delivered to those persons purchasing depositary shares in the offering. The depositary will be the transfer agent, registrar and dividend disbursing agent for the depositary shares. Holders of depositary receipts agree to be bound by the deposit agreement, which requires holders to take certain actions such as filing proof of residence and paying certain charges. </w:t>
      </w:r>
    </w:p>
    <w:p>
      <w:pPr>
        <w:pStyle w:val="TextBody"/>
        <w:bidi w:val="0"/>
        <w:spacing w:before="240" w:after="0"/>
        <w:jc w:val="left"/>
        <w:rPr>
          <w:rFonts w:ascii="Times New Roman" w:hAnsi="Times New Roman"/>
          <w:sz w:val="20"/>
        </w:rPr>
      </w:pPr>
      <w:r>
        <w:rPr>
          <w:rFonts w:ascii="Times New Roman" w:hAnsi="Times New Roman"/>
          <w:sz w:val="20"/>
        </w:rPr>
        <w:t xml:space="preserve">The summary of the terms of the depositary shares contained in this prospectus shall apply unless otherwise specified on a supplement to this prospectus. This summary, as modified by any supplement to this prospectus, does not purport to be complete and is subject to, and qualified in its entirety by, the provisions of the deposit agreement, the company’s charter and the form of articles supplementary for the applicable series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distribute all cash dividends or other cash distributions received in respect of the series of preferred stock represented by the depositary shares to the record holders of depositary receipts in proportion to the number of depositary shares owned by such holders on the relevant record date, which will be the same date as the record date fixed by the company for the applicable series of preferred stock. The depositary, however, will distribute only such amount as can be distributed without attributing to any depositary share a fraction of one cent, and any balance not so distributed will be added to and treated as part of the next sum received by the depositary for distribution to record holders of depositary receipts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distribution other than in cash, the depositary will distribute property received by it to the record holders of depositary receipts entitled thereto, in proportion, as nearly as may be practicable, to the number of depositary shares owned by such holders on the relevant record date, unless the depositary determines (after consultation with the company) that it is not feasible to make such distribution, in which case the depositary may (with the company’s approval) adopt any other method for such distribution as it deems equitable and appropriate, including the sale of such property (at such place or places and upon such terms as it may deem equitable and appropriate) and distribution of the net proceeds from such sale to such 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the liquidation, dissolution or winding up of the affairs of the company, whether voluntary or involuntary, the holders of each depositary share will be entitled to the fraction of the liquidation preference accorded each share of the applicable series of preferred stock as set forth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If the series of preferred stock represented by the applicable series of depositary shares is redeemable, such depositary shares will be redeemed from the proceeds received by the depositary resulting from the redemption, in whole or in part, of preferred stock held by the depositary. Whenever the company redeems any preferred stock held by the depositary, the depositary will redeem as of the same redemption date the number of depositary shares representing the preferred stock so redeemed. The depositary will mail the notice of redemption promptly upon receipt of such notice from the company and not less than 30 nor more than 60 days prior to the date fixed for redemption of the preferred stock and the depositary shares to the record holders of the depositary receipts.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Promptly upon receipt of notice of any meeting at which the holders of the series of preferred stock represented by the applicable series of depositary shares are entitled to vote, the depositary will mail the information contained in such notice of meeting to the record holders of the depositary receipts as of the record date for such meeting. Each such record holder of depositary receipts will be entitled to instruct the depositary as to the exercise of the voting rights pertaining to the number of shares of preferred stock represented by such record holder’s depositary shares. The depositary will endeavor, insofar as practicable, to vote such preferred stock represented by such depositary shares in accordance with such instructions, and the company will agree to take all action which may be deemed necessary by the depositary in order to enable the depositary to do so. The depositary will abstain from voting any of the preferred stock to the extent that it does not receive specific instructions from the holders of depositary receipts.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Withdrawal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Upon surrender of depositary receipts at the principal office of the depositary and payment of any unpaid amount due the depositary, and subject to the terms of the deposit agreement, the owner of the depositary shares evidenced thereby is entitled to delivery of the number of whole shares of preferred stock and all money and other property, if any, represented by such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depositary will deliver to such holder at the same time a new depositary receipt evidencing such excess number of depositary shares. Holders of preferred stock thus withdrawn will not thereafter be entitled to deposit such shares under the deposit agreement or to receive depositary receipts evidencing depositary shares therefor.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of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form of depositary receipt evidencing the depositary shares and any provision of the deposit agreement may at any time and from time to time be amended by agreement between the company and the depositary. However, any amendment which materially and adversely alters the rights of the holders (other than any change in fees) of depositary shares will not be effective unless such amendment has been approved by at least a majority of the depositary shares then outstanding. No such amendment may impair the right, subject to the terms of the deposit agreement, of any owner of any depositary shares to surrender the depositary receipt evidencing such depositary shares with instructions to the depositary to deliver to the holder the preferred stock and all money and other property, if any, represented thereby, except in order to comply with mandatory provisions of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deposit agreement will be permitted to be terminated by the company upon not less than 30 days prior written notice to the applicable depositary if (i) such termination is necessary to preserve the company’s status as a REIT or (ii) a majority of each series of preferred stock affected by such termination consents to such termination, whereupon such depositary will be required to deliver or make available to each holder of depositary receipts, upon surrender of the depositary receipts held by such holder, such number of whole or fractional shares of preferred stock as are represented by the depositary shares evidenced by such depositary receipts together with any other property held by such depositary with respect to such depositary receipts. The company will agree that if the deposit agreement is terminated to preserve the company’s status as a REIT, then it will use its best efforts to list the preferred stock issued upon surrender of the related depositary shares on a national securities exchange. In addition, the deposit agreement will automatically terminate if (i) all outstanding depositary shares thereunder shall have been redeemed, (ii) there shall have been a final distribution in respect of the related preferred stock in connection with any liquidation, dissolution or winding-up of the company and such distribution shall have been distributed to the holders of depositary receipts evidencing the depositary shares representing such preferred stock or (iii) each share of the related preferred stock shall have been converted into stock of the company not so represented by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Charges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pay all transfer and other taxes and governmental charges arising solely from the existence of the depositary arrangements. The company will pay charges of the depositary in connection with the initial deposit of the preferred stock and initial issuance of the depositary shares, and redemption of the preferred stock and all withdrawals of preferred stock by owners of depositary shares. Holders of depositary receipts will pay transfer, income and other taxes and governmental charges and certain other charges as are provided in the deposit agreement to be for their accounts. In certain circumstances, the depositary may refuse to transfer depositary shares, may withhold dividends and distributions and sell the depositary shares evidenced by such depositary receipt if such charges are not paid. The applicable prospectus supplement will include information with respect to fees and charges, if any, in connection with the deposit or substitution of the underlying securities, the receipt and distribution of dividends, the sale or exercise of rights, the withdrawal of the underlying security, and the transferring, splitting or grouping of receipts. The applicable prospectus supplement will also include information with respect to the right to collect the fees and charges, if any, against dividends received and deposited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forward to the holders of depositary receipts all notices, reports and proxy soliciting material from the company which are delivered to the depositary and which the company is required to furnish to the holders of the preferred stock. In addition, the depositary will make available for inspection by holders of depositary receipts at the principal office of the depositary, and at such other places as it may from time to time deem advisable, any notices, reports and proxy soliciting material received from the company which are received by the depositary as the holder of preferred stock. The applicable prospectus supplement will include information about the rights, if any, of holders of receipts to inspect the transfer books of the depositary and the list of holders of receipts. </w:t>
      </w:r>
    </w:p>
    <w:p>
      <w:pPr>
        <w:pStyle w:val="TextBody"/>
        <w:bidi w:val="0"/>
        <w:spacing w:before="240" w:after="0"/>
        <w:jc w:val="left"/>
        <w:rPr>
          <w:rFonts w:ascii="Times New Roman" w:hAnsi="Times New Roman"/>
          <w:sz w:val="20"/>
        </w:rPr>
      </w:pPr>
      <w:r>
        <w:rPr>
          <w:rFonts w:ascii="Times New Roman" w:hAnsi="Times New Roman"/>
          <w:sz w:val="20"/>
        </w:rPr>
        <w:t xml:space="preserve">Neither the depositary nor the company assumes any obligation or will be subject to any liability under the deposit agreement to holders of depositary receipts other than for its negligence or willful misconduct. Neither the depositary nor the company will be liable if it is prevented or delayed by law or any circumstance beyond its control in performing its obligations under the deposit agreement. The obligations of the company and the depositary under the deposit agreement will be limited to performance in good faith of their duties thereunder, and they will not be obligated to prosecute or defend any legal proceeding in respect of any depositary shares or preferred stock unless satisfactory indemnity is furnished. The company and the depositary may rely on written advice of counsel or accountants, on information provided by holders of the depositary receipts or other persons believed in good faith to be competent to give such information and on documents believed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depositary shall receive conflicting claims, requests or instructions from any holders of depositary receipts, on the one hand, and the company, on the other hand, the depositary shall be entitled to act on such claims, requests or instructions received from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Resignation and Removal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resign at any time by delivering to us notice of its election to do so, and the company may at any time remove the depositary, any such resignation or removal to take effect upon the appointment of a successor depositary and its acceptance of such appointment. Such successor depositary must be appointed within 60 days after delivery of the notice for resignation or removal and must be a bank or trust company having its principal office in the United States and having a combined capital and surplus of at least $150,000,000.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914399_10"/>
      <w:bookmarkEnd w:id="24"/>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issue warrants for the purchase of the common stock, preferred stock or depositary shares of Digital Realty Trust, Inc., and may issue warrants independently or together with common stock, preferred stock, depositary shares or debt securities or attached to or separate from such securities. The company will issue each series of warrants under a separate warrant agreement, and may appoint a bank or trust company as warrant agent, all as specified in the applicable prospectus supplement. Any warrant agent will act solely as the company’s agent in connection with the warrants and will not act for or on behalf of warrant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certain general terms and provisions of the warrants that may be offered under this registration statement. Further terms of the warrants and applicable warrant agreements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terms of the warrants in respect of which this prospectus is being delivered, including, where applicable,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such warrants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warrants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type and number of securities purchasable upon exercise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other securities, if any, with which such warrants are issued and the number of such warrants issued with each such offered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such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each security purchasable upon exercise of such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for changes to or adjustments in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warrants shall commence and the date on which such right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minimum or maximum amount of such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anti-dilution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material U.S.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warrants, including terms, procedures and limitations relating to the transferability, exercise and exchange of such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Warrant certificates will be exchangeable for new warrant certificates of different denominations and warrants may be exercised at the corporate trust office of the warrant agent or any other office indicated in the applicable prospectus supplement. Prior to the exercise of their warrants, holders of warrants will not have any of the rights of holders of the securities purchasable upon such exercise or to any dividend payments or voting rights, as applicable, as to which holders of the shares of the common stock or preferred stock purchasable upon such exercise may be entitled. </w:t>
      </w:r>
    </w:p>
    <w:p>
      <w:pPr>
        <w:pStyle w:val="TextBody"/>
        <w:bidi w:val="0"/>
        <w:spacing w:before="240" w:after="0"/>
        <w:jc w:val="left"/>
        <w:rPr>
          <w:rFonts w:ascii="Times New Roman" w:hAnsi="Times New Roman"/>
          <w:sz w:val="20"/>
        </w:rPr>
      </w:pPr>
      <w:r>
        <w:rPr>
          <w:rFonts w:ascii="Times New Roman" w:hAnsi="Times New Roman"/>
          <w:sz w:val="20"/>
        </w:rPr>
        <w:t xml:space="preserve">Each warrant will entitle the holder to purchase for cash such number of shares of common stock, shares of preferred stock, or depository shares, at such exercise price as shall, in each case, be set forth, or be determinable as set forth, in the applicable prospectus supplement relating to the warrants offered thereby. Unless otherwise specified in the applicable prospectus supplement, warrants may be exercised at any time up to 5:00 p.m. New York City time on the expiration date set forth in applicable prospectus supplement. After 5:00 p.m. New York City time on the expiration date, unexercised warrants will be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Warrants may be exercised as set forth in the applicable prospectus supplement relating to the warrants. Upon receipt of payment and the warrant certificate properly completed and duly executed at the corporate trust office of the warrant agent or any other office indicated in the applicable prospectus supplement, the company will, as soon as practicable, forward the securities purchasable upon such exercise. If less than all of the warrants are presented by such warrant certificate of exercise, a new warrant certificate will be issued for the remaining amount of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914399_11"/>
      <w:bookmarkEnd w:id="25"/>
      <w:r>
        <w:rPr>
          <w:rFonts w:ascii="Times New Roman" w:hAnsi="Times New Roman"/>
          <w:b/>
          <w:sz w:val="20"/>
        </w:rPr>
        <w:t xml:space="preserve">DESCRIPTION OF DEBT SECURITIES AND RELATED GUARANTEES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description of the general terms and provisions of our operating partnership’s debt securities and related guarantees by Digital Realty Trust, Inc., if applicable. When our operating partnership offers to sell a particular series of debt securities, we will describe the specific terms of the series in a supplement to this prospectus, including the terms of any related guarantees by Digital Realty Trust, Inc. and the terms, if any, on which a series of debt securities may be convertible into or exchangeable for other securities. We will also indicate in the prospectus supplement whether the general terms and provisions described in this prospectus apply to a particular series of debt securities. To the extent the information contained in the prospectus supplement differs from this summary description, you should rely on the information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may be offered in the form of either senior debt securities or subordinated debt securities. Unless otherwise specified in a prospectus supplement, the debt securities will be the direct, unsecured obligations of Digital Realty Trust, L.P., and will rank equally in right of payment with all of Digital Realty Trust, L.P.’s other unsecured and unsubordinated indebtedness. The debt securities that are sold may be exchangeable for and/or convertible into common stock or any of the other securities that may be sold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a prospectus supplement, the debt securities will be issued under an indenture between us and Computershare Trust Company, N.A., successor to Wells Fargo Bank, National Association, as trustee, or the trustee. We have summarized select portions of the indenture below. The summary is not complete. We have filed the indenture as an exhibit to the registration statement of which this prospectus is a part, and you should read the indenture and our debt securities carefully for provisions that may be important to you. Capitalized terms used in the summary and not defined in this prospectus have the meaning specified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the company’s board of directors and set forth or determined in the manner provided in an officer’s certificate or by a supplemental indenture. The particular terms of each series of debt securities will be described in a prospectus supplement relating to such series, including any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a prospectus supplement, the indenture will designate Computershare Trust Company, N.A. as the trustee for the indenture with respect to one or more series of our operating partnership’s debt securities and related guarantees of our company, if applicable. Computershare Trust Company, N.A., or any other specified trustee, may resign or be removed with respect to one or more series of our debt securities, and a successor trustee may be appointed to act with respect to that series. </w:t>
      </w:r>
    </w:p>
    <w:p>
      <w:pPr>
        <w:pStyle w:val="TextBody"/>
        <w:bidi w:val="0"/>
        <w:spacing w:before="0" w:after="0"/>
        <w:jc w:val="left"/>
        <w:rPr>
          <w:rFonts w:ascii="Times New Roman" w:hAnsi="Times New Roman"/>
          <w:sz w:val="20"/>
        </w:rPr>
      </w:pPr>
      <w:r>
        <w:rPr>
          <w:rFonts w:ascii="Times New Roman" w:hAnsi="Times New Roman"/>
          <w:sz w:val="20"/>
        </w:rPr>
        <w:t xml:space="preserve">Unless otherwise specified in a supplement to this prospectus, the debt securities will be our operating partnership’s direct, unsecured obligations and will rank equally with all of its other unsecured and unsubordinated indebtedness, and may be fully and unconditionally guaranteed by the company. We can issue an unlimited amount of our operating partnership’s debt securities under the indenture that may be in one or more series with the same or various maturities, at par, at a premium, or at a discount. We will set forth in a prospectus supplement, including any pricing supplement, relating to any series of debt securities being offered, the aggregate principal amount and the following terms of such series of debt securities,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(which shall distinguish the debt securities of that particular series from the debt securities of any other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thereof) at which the debt securities of the series will be issued;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of the series that may be authenticated and delivered under the indenture (except for debt securities authenticated and delivered upon registration of transfer of, or in exchange for, or in lieu of, other debt securities of the series pursuant to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debt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if applicable, the method used to determine such rate or rates (including, but not limited to, any commodity, commodity index, stock exchange index or financial index) at which the debt securities of the series shall bear interest, if any, the date or dates from which such interest, if any, shall accrue, the date or dates on which interest, if any, shall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premium, if any, and interest, if any, on the debt securities shall be payable and the method of such payment, if by wire transfer, mail or other means, and the place or places where debt securities may be surrendered for registration of transfer or exchange and where notices or demands to or upon us relating to debt securities and the indenture may be 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period or periods within which, the price or prices at which and the terms and conditions upon which the debt securities of the series may be redeemed, in whole or in part, at our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 if any, by us to redeem or purchase the debt securities of the series pursuant to any sinking fund or analogous provisions or at the option of a holder thereof and the period or periods within which, the price or prices at which, the currency or currencies in which and the other terms and conditions upon which debt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if any, on which and the price or prices at which the debt securities of the series will be repurchased by us at the option of the holders thereof and other detailed terms and provisions of such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denominations of $1,000 and any integral multiple thereof, the denominations in which the debt securities shall be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forms of the debt securities of the series and whether the debt securities will be issuable as global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principal amount thereof, the portion of the principal amount of the debt securities of the series that shall be payable upon declaration of acceleration of the maturity thereof pursuant to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of the series, which may be in U.S. dollars or any foreign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the principal of, and premium, if any, and interest, if any, on, the debt securities of the series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and premium, if any, and interest, if any, on, the debt securities of the series are to be made in one or more currencies or currency units other than that or those in which such debt securities are denominated, the manner in which the exchange rate with respect to such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if any, on the debt securities of the series will be determined, if such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any security provided for the debt securities of the series or the guarantees, if any,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change in or deletion from the events of default that apply to any debt securities of the series and any change in the right of the trustee or the requisite holders of such debt securities to declare the principal amount thereof due and payable pursuant to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change in the covenants described in this prospectus or in the indenture with respect to the debt securities of the series; </w:t>
            </w:r>
          </w:p>
        </w:tc>
      </w:tr>
    </w:tbl>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depositaries, interest rate calculation agents, exchange rate calculation agents or other agents, if any, with respect to the debt securities of the series, if other than as described in this prospectus or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conversion of any debt securities of the series, including if applicable, the conversion price, the conversion period, the securities or other property into which such debt securities will be convertible, provisions as to whether conversion will be mandatory, at the option of the holders thereof or at our option, the events requiring an adjustment of the conversion price and provisions affecting conversion if such debt securities are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will be senior debt securities or subordinated debt securities and, if applicable, the subordination terms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are entitled to the benefits of a guarantee pursuant to the indenture, the terms of such guarantee and whether any such guarantee is made on a senior or subordinated basis and, if applicable, the subordination terms of any such guarantee;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additional material U.S. federal income tax consequences, if any, applicable to an investment in such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of the series (which terms may supplement, modify or delete any provision of the indenture insofar as it applies to such series) .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indenture does not limit our operating partnership’s ability to issue convertible or subordinated debt securities. Any conversion or subordination provisions of a particular series of debt securities will be set forth in the officer’s certificate or supplemental indenture related to that series of debt securities and will be described in the relevant prospectus supplement. Such terms may include provisions for conversion, either mandatory, at the option of the holder or at our option, in which case the number of shares of common stock, cash or other securities to be received by the holders of debt securities would be calculated as of a time and in the manner stated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of our operating partnership that provide for an amount less than their stated principal amount to be due and payable upon declaration of acceleration of their maturity pursuant to the terms of the indenture. We will provide you with information on the other special considerations applicable to any such debt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we denominate the purchase price of any of our operating partnership’s debt securities in a foreign currency or currencies or a foreign currency unit or units, or if the principal of and premium, if any, and interest, if any,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as depositary, or a nominee (we will refer to any debt security represented by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You may transfer or exchange certificated debt securities at any office we designate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and premium and interest on, certificated debt securities only by surrendering the certificate representing those certificated debt securities and either reissuance by us of the certificate to the new holder or the issuance by us of a new certificate to the new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Global Debt Securities and 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Each global debt security representing book-entry debt securities will be deposited with, or on behalf of, the depositary, and registered in the name of the depositary or a nominee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We will require the depositary to agree to follow the following procedures with respect to book-entry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book-entry debt securities will be limited to persons who have accounts with the depositary for the related global debt security, which we refer to as participants, or persons who may hold interests through participants. Upon the issuance of a global debt security, the depositary will credit, on its book-entry registration and transfer system, the participants’ accounts with the respective principal amounts of the book-entry debt securities represented by such global debt security beneficially owned by such participants. The accounts to be credited will be designated by any dealers, underwriters or agents participating in the distribution of the book-entry debt securities. Ownership of book-entry debt securities will be shown on, and the transfer of such ownership interests will be effected only through, records maintained by the depositary for the related global debt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These laws may impair the ability to own, transfer or pledge beneficial interests in book-entry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for a global debt security, or its nominee, is the registered owner of that global debt security, the depositary or its nominee, as the case may be, will be considered the sole owner or holder of the book-entry debt securities represented by such global debt security for all purposes under the indenture. Except as described below, beneficial owners of book-entry debt securities will not be entitled to have securities registered in their names, will not receive or be entitled to receive physical delivery of a certificate in definitive form representing securities and will not be considered the owners or holders of those securities under the indenture. Accordingly, each person beneficially owning book-entry debt securities must rely on the procedures of the depositary for the related global debt security and, if such person is not a participant, on the procedures of the participant through which such person owns its interest, to exercise any rights of a holder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understand, however, that under existing industry practice, the depositary will authorize the persons on whose behalf it holds a global debt security to exercise certain rights of holders of debt securities, and the indenture provides that we, the trustee and our respective agents will treat as the holder of a debt security the persons specified in a written statement of the depositary with respect to that global debt security for purposes of obtaining any consents or directions required to be given by holders of the debt securities pursuant to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make payments of principal of, and premium and interest on, book-entry debt securities to the depositary or its nominee, as the case may be, as the registered holder of the related global debt security. We, the trustee and any other agent of ours or agent of the trustee will not have any responsibility or liability for any aspect of the records relating to or payments made on account of beneficial ownership interests in a global debt security or for maintaining, supervising or reviewing any records relating to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upon receipt of any payment of principal of, and premium or interest on, a global debt security, will immediately credit participants’ accounts with payments in amounts proportionate to the respective amounts of book-entry debt securities held by each participant as shown on the records of such depositary. We also expect that payments by participants to owners of beneficial interests in book-entry debt securities held through those participants will be governed by standing customer instructions and customary practices, as is now the case with the securities held for the accounts of customers registered in “street name,” and will be the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certificated debt securities in exchange for each global debt security if the depositary is at any time unwilling or unable to continue as depositary or ceases to be a clearing agency registered under the Exchange Act and a successor depositary registered as a clearing agency under the Exchange Act is not appointed by us within 90 days. In addition, we may at any time and in our sole discretion determine not to have the book-entry debt securities of any series represented by one or more global debt securities and, in that event, will issue certificated debt securities in exchange for the global debt securities of that series. Any certificated debt securities issued in exchange for a global debt security will be registered in such name or names as the depositary shall instruct the trustee. We expect that such instructions will be based upon directions received by the depositary from participants with respect to ownership of book-entry debt securities relating to such global debt security. </w:t>
      </w:r>
    </w:p>
    <w:p>
      <w:pPr>
        <w:pStyle w:val="TextBody"/>
        <w:bidi w:val="0"/>
        <w:spacing w:before="240" w:after="0"/>
        <w:jc w:val="left"/>
        <w:rPr>
          <w:rFonts w:ascii="Times New Roman" w:hAnsi="Times New Roman"/>
          <w:sz w:val="20"/>
        </w:rPr>
      </w:pPr>
      <w:r>
        <w:rPr>
          <w:rFonts w:ascii="Times New Roman" w:hAnsi="Times New Roman"/>
          <w:sz w:val="20"/>
        </w:rPr>
        <w:t xml:space="preserve">We have obtained the foregoing information concerning the depositary and the depositary’s book-entry system from sources we believe to be reliable, but we take no responsibility for the accuracy of this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Digital Realty Trust, L.P. and Digital Realty Trust, Inc. may consolidate with, or sell, lease or convey all or substantially all of their respective assets to, or merge with or into, any other entity, provided that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Digital Realty Trust, L.P. or Digital Realty Trust, Inc., as the case may be, shall be the continuing entity, or the successor entity (if other than Digital Realty Trust, L.P. or Digital Realty Trust, Inc., as the case may be) formed by or resulting from any consolidation or merger or which shall have received the transfer of assets shall expressly assume payment of the principal of and interest on all of the debt securities and the due and punctual performance and observance of all of the covenants and conditions in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Event of Default under the indenture, and no event which, after notice or the lapse of time, or both, would become an Event of Default,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officer’s certificate and legal opinion covering these conditions shall be delivered to the trustee.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Guarantees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issued by Digital Realty Trust, L.P. will be fully and unconditionally guaranteed by Digital Realty Trust, Inc. The applicable prospectus supplement relating to a series of debt securities will provide that those debt securities will have the benefit of a guarantee by Digital Realty Trust, Inc. These guarantees will be joint and several obligations of the guarantor. If a series of debt securities is so guaranteed, an indenture, or a supplemental indenture thereto, will be executed by the guarantor. The obligations of the guarantor under the guarantee will be limited as necessary to prevent that guarantee from constituting a fraudulent conveyance under applicable law. The terms of the guarantee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that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or premium on any debt security of that series when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of such default from the trustee or we and the trustee receive written notice of such default from the holders of not less than a majority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of our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accompanying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of the principal amount of the outstanding debt securities of that series may, by a notice in writing to us (and to the trustee if given by the holders), declare to be due and payable immediately the principal (or, if the debt securities of that series are discount securities, that portion of the principal amount as may be specified in the terms of that series) of, and accrued and unpaid interest, if any, on all debt securities of that series. In the case of an event of default resulting from certain events of bankruptcy, insolvency or reorganization, the principal (or such specified amount) of and accrued and unpaid interest,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will be under no obligation to exercise any of its rights or powers under the indenture at the request of any holder of outstanding debt securities, unless the trustee receives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a majority in principal amount of the outstanding debt securities of that series have made written request, and offered reasonable indemnity, to the trustee to institute the proceeding as trustee, and the trustee has not received from the holders of a majority in principal amount of the outstanding debt securities of that series a direction inconsistent with that request and has failed to institute the proceeding within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holder of any debt security will have an absolute and unconditional right to receive payment of the principal of, premium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may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premium or any interest on, any debt security of that series; </w:t>
      </w:r>
      <w:r>
        <w:rPr>
          <w:rFonts w:ascii="Times New Roman" w:hAnsi="Times New Roman"/>
          <w:i/>
          <w:sz w:val="20"/>
        </w:rPr>
        <w:t xml:space="preserve">provided, however, </w:t>
      </w:r>
      <w:r>
        <w:rPr>
          <w:rFonts w:ascii="Times New Roman" w:hAnsi="Times New Roman"/>
          <w:sz w:val="20"/>
        </w:rPr>
        <w:t xml:space="preserve">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Legal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unless otherwise provided by the terms of the applicable series of debt securities, we may be discharged from any and all obligations in respect of the debt securities of any series (except for certain obligations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 U.S. government obligations or, in the case of debt securities denominated in a single currency other than U.S. dollars,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or IRS, a ruling or, since the date of execution of the indenture, there has been a change in the applicable U.S. federal income tax law, in either case to the effect that, and based thereon such opinion shall confirm that, the holders of the outstanding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Defeasance of 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that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or covenant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conditions include: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Covenant Defeasance and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In the event we exercise our option to effect covenant defeasance with respect to any series of debt securities and the debt securities of that series are declared due and payable because of the occurrence of any event of default, the amount of money and/or U.S. government obligations or foreign government obligations on deposit with the trustee will be sufficient to pay amounts due on the debt securities of that series at the time of their stated maturity but may not be sufficient to pay amounts due on the debt securities of that series at the time of the acceleration resulting from the event of default. In such a case, we would remain liable for those payments. </w:t>
      </w:r>
    </w:p>
    <w:p>
      <w:pPr>
        <w:pStyle w:val="TextBody"/>
        <w:bidi w:val="0"/>
        <w:spacing w:before="240" w:after="0"/>
        <w:jc w:val="left"/>
        <w:rPr/>
      </w:pPr>
      <w:r>
        <w:rPr/>
        <w:t>“</w:t>
      </w:r>
      <w:r>
        <w:rPr>
          <w:rFonts w:ascii="Times New Roman" w:hAnsi="Times New Roman"/>
          <w:i/>
          <w:sz w:val="20"/>
        </w:rPr>
        <w:t>Foreign Government Obligations”</w:t>
      </w:r>
      <w:r>
        <w:rPr>
          <w:rFonts w:ascii="Times New Roman" w:hAnsi="Times New Roman"/>
          <w:sz w:val="20"/>
        </w:rPr>
        <w:t xml:space="preserve"> means, with respect to debt securities of any series that are denominated in a currency other than U.S. dollars: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 obligations of the government that issued or caused to be issued such currency for the payment of which obligations its full faith and credit is pledged which are not callable or redeemable at the option of the issuer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laws of the State of New York without regard to conflict of law principles that would result in the application of any law other than the law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914399_12"/>
      <w:bookmarkEnd w:id="26"/>
      <w:r>
        <w:rPr>
          <w:rFonts w:ascii="Times New Roman" w:hAnsi="Times New Roman"/>
          <w:b/>
          <w:sz w:val="20"/>
        </w:rPr>
        <w:t xml:space="preserve">RESTRICTIONS ON OWNERSHIP AND TRANSFER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summary with respect to restrictions on ownership and transfer of Digital Realty Trust, Inc.’s stock sets forth certain general terms and provisions of the company’s charter documents to which any prospectus supplement may relate. This summary does not purport to be complete and is subject to and qualified in its entirety by reference to the company’s charter documents, as amended and supplemented from time to time, including any articles supplementary relating to any issuance of preferred stock pursuant to this prospectus. Copies of the company’s existing charter documents are filed with the SEC and are incorporated by reference as exhibits to the registration statement of which this prospectus is a part. Any amendment or supplement to the company’s charter documents relating to an issuance of securities pursuant to this prospectus shall be filed with the SEC and shall be incorporated by reference as an exhibit to the applicable prospectus supplement. See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order for the company to qualify as a REIT under the Internal Revenue Code of 1986, as amended, or the Code, the company’s stock must be beneficially owned by 100 or more persons during at least 335 days of a taxable year of 12 months (other than the first year for which an election to be a REIT has been made) or during a proportionate part of a shorter taxable year. Also, not more than 50% of the value of the outstanding shares of stock may be owned, directly or indirectly, by five or fewer individuals (as defined in the Code to include certain entities such as qualified pension plans) during the last half of a taxable year (other than the first year for which an election to be a REIT has been made).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charter contains restrictions on the ownership and transfer of the common stock, preferred stock and capital stock that are intended to assist the company in complying with these requirements and continuing to qualify as a REIT. The relevant sections of the company’s charter provide that, subject to the exceptions described below, no person or entity may beneficially own, or be deemed to own by virtue of the applicable constructive ownership provisions of the Code, more than 9.8% (by value or by number of shares, whichever is more restrictive) of the outstanding shares of the common stock or of any series of preferred stock, or more than 9.8% of the value of the company’s outstanding capital stock. The company refers to these restrictions as the “common stock ownership limit,” the “preferred stock ownership limit” and the “aggregate stock ownership limit,” respectively. A person or entity that becomes subject to one of the ownership limits by virtue of a violative transfer that results in a transfer to a trust, as set forth below, is referred to as a “purported beneficial transferee” if, had the violative transfer been effective, the person or entity would have been a record owner and beneficial owner or solely a beneficial owner of the common stock, any series of the company’s preferred stock, or the company’s capital stock, as applicable, or is referred to as a “purported record transferee” if, had the violative transfer been effective, the person or entity would have been solely a record owner of the common stock, any series of the company’s preferred stock, or the company’s capital stock,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constructive ownership rules under the Code are complex and may cause stock owned actually or constructively by a group of related individuals and/or entities to be owned constructively by one individual or entity. As a result, the acquisition of less than 9.8% of the common stock or any series of the company’s preferred stock or less than 9.8% of the value of the company’s outstanding capital stock (or the acquisition of an interest in an entity that owns, actually or constructively, the company’s capital stock) by an individual or entity could, nevertheless, cause that individual or entity, or another individual or entity, to own constructively more than 9.8% of the company’s outstanding common stock or a series of the company’s preferred stock or capital stock, as applicable, and thereby subject such stock to the applicable ownership limit. </w:t>
      </w:r>
    </w:p>
    <w:p>
      <w:pPr>
        <w:pStyle w:val="TextBody"/>
        <w:bidi w:val="0"/>
        <w:spacing w:before="240" w:after="0"/>
        <w:jc w:val="left"/>
        <w:rPr>
          <w:rFonts w:ascii="Times New Roman" w:hAnsi="Times New Roman"/>
          <w:sz w:val="20"/>
        </w:rPr>
      </w:pPr>
      <w:r>
        <w:rPr>
          <w:rFonts w:ascii="Times New Roman" w:hAnsi="Times New Roman"/>
          <w:sz w:val="20"/>
        </w:rPr>
        <w:t xml:space="preserve">The company’s board of directors may, in its sole discretion waive, prospectively or retroactively, the common stock ownership limit or aggregate stock ownership limit with respect to the beneficial ownership of a particular stockholder if it determines that such waiver will not cause any individual’s beneficial ownership of shares of the company’s capital stock to violate the aggregate stock ownership limit and that any exemption from the applicable ownership limit will not jeopardize the company’s status as a REIT.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board of directors may, in its sole discretion waive, prospectively or retroactively, the common stock ownership limit or aggregate stock ownership limit with respect to the constructive ownership of a particular stockholder if it determines that such stockholder does not and will not own, actually or constructively, an interest in a tenant of the company (or a tenant of any entity owned in whole or in part by the company) that would cause the company to own, actually or constructively, more than a 9.8% interest (as set forth in Section 856(d)(2)(B) of the Code) in such tenant or that any such ownership would not cause the company to fail to qualify as a REIT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The company’s board of directors may also, in its sole discretion waive, prospectively or retroactively, the preferred stock ownership limit with respect to a particular stockholder if it determines that such waiver will not: (1) cause any individual’s beneficial ownership of shares of the company’s capital stock to violate the aggregate stock ownership limit, or (2) jeopardize the company’s status as a REIT. </w:t>
      </w:r>
    </w:p>
    <w:p>
      <w:pPr>
        <w:pStyle w:val="TextBody"/>
        <w:bidi w:val="0"/>
        <w:spacing w:before="240" w:after="0"/>
        <w:jc w:val="left"/>
        <w:rPr>
          <w:rFonts w:ascii="Times New Roman" w:hAnsi="Times New Roman"/>
          <w:sz w:val="20"/>
        </w:rPr>
      </w:pPr>
      <w:r>
        <w:rPr>
          <w:rFonts w:ascii="Times New Roman" w:hAnsi="Times New Roman"/>
          <w:sz w:val="20"/>
        </w:rPr>
        <w:t xml:space="preserve">As a condition of the company’s waiver, the company’s board of directors may require an opinion of counsel or IRS ruling satisfactory to the company’s board of directors, and/or representations or undertakings from the applicant with respect to preserving the company’s REIT status.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 waiver of an ownership limit or at any other time, the company’s board of directors may increase the applicable ownership limit for one or more persons and decrease the applicable ownership limit for all other persons and entities; provided, however, that the decreased ownership limit will not be effective for any person or entity whose percentage ownership in the common stock, any series of the company’s preferred stock or capital stock, as applicable, exceeds the decreased ownership limit until such time as such person or entity’s percentage ownership equals or falls below the decreased ownership limit; but any further acquisition of the company’s common, preferred or capital stock, as applicable, in excess of such percentage ownership will be in violation of the applicable ownership limit. Additionally, the new ownership limit, as applicable, may not allow five or fewer stockholders to beneficially own more than 49% in value of the company’s outstanding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company’s charter further prohibits: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from beneficially or constructively owning shares of the company’s stock that would result in our being “closely held” under Section 856(h) of the Code or otherwise cause the company to fail to qualify as a REIT;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from transferring shares of the company’s capital stock if such transfer would result in shares of the company’s stock being beneficially owned by fewer than 100 persons (determined without reference to any rules of attribution).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person who acquires or attempts or intends to acquire beneficial or constructive ownership of shares of the company’s stock that will or may violate any of the foregoing restrictions on transferability and ownership will be required to give notice immediately to the company and provide the company with such other information as it may request in order to determine the effect of such transfer on the company’s status as a REIT. The foregoing provisions on transferability and ownership will not apply if the company’s board of directors determines that it is no longer in the company’s best interests to attempt to qualify, or to continue to qualify, as a REIT.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company’s charter, if any purported transfer of the company’s stock or any other event would otherwise result in any person violating the ownership limits or such other limit as established by the company’s board of directors or would result in the company being “closely held” under Section 856(h) of the Code or otherwise failing to qualify as a REIT, then that number of shares in excess of the applicable ownership limit or causing us to be “closely held” or otherwise to fail to qualify as a REIT (rounded up to the nearest whole share) will be automatically transferred to, and held by, a trust for the exclusive benefit of one or more charitable organizations selected by the company and the intended transferee will acquire no rights in such shares. The automatic transfer will be effective as of the close of business on the business day prior to the date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violative transfer or other event that results in the transfer to the trust. Any dividend or other distribution paid to the purported record transferee that are owed by the purported record transferee to the trust as described above, must be repaid to the trustee upon demand for distribution to the beneficiary of the trust, and the trustee may reduce the amount payable to the purported record transferee upon the sale of the shares transferred to the trustee (as described below) by the amount of any such dividends or other distributions which have not been repaid to the trustee. If the transfer to the trust as described above is not automatically effective, for any reason, to prevent a violation of the applicable ownership limit or the company’s being “closely held” or otherwise failing to qualify as a REIT, then the company’s charter provides that the transfer of the shares in excess of the ownership limit will be void. If any transfer would result in shares of the company’s stock being beneficially owned by fewer than 100 persons, then any such purported transfer will be void and of no force or effect and the intended transferee will acquire no rights in the shares. </w:t>
      </w:r>
    </w:p>
    <w:p>
      <w:pPr>
        <w:pStyle w:val="TextBody"/>
        <w:bidi w:val="0"/>
        <w:spacing w:before="240" w:after="0"/>
        <w:jc w:val="left"/>
        <w:rPr>
          <w:rFonts w:ascii="Times New Roman" w:hAnsi="Times New Roman"/>
          <w:sz w:val="20"/>
        </w:rPr>
      </w:pPr>
      <w:r>
        <w:rPr>
          <w:rFonts w:ascii="Times New Roman" w:hAnsi="Times New Roman"/>
          <w:sz w:val="20"/>
        </w:rPr>
        <w:t xml:space="preserve">Shares of the company’s stock transferred to the trustee are deemed offered for sale to the company, or the company’s designee, at a price per share equal to the lesser of (1) the price paid by the purported record transferee for the shares (or, if the event which resulted in the transfer to the trust did not involve a purchase of such shares of the company’s stock at market price, the last sales price reported on the NYSE on the trading day immediately preceding the day of the event which resulted in the transfer of such shares of the company’s stock to the trust) and (2) the market price on the date the company, or its designee, accepts such offer. The company may reduce the amount payable to the purported record transferee by the amount of dividends and distributions which have been paid to the purported record transferee and are owed by the purported record transferee to the trustee. The company will pay the amount of such reduction to the trustee for the benefit of the charitable beneficiary. The company has the right to accept such offer until the trustee has sold the shares of the company’s stock held in the trust pursuant to the clauses discussed below. Upon a sale to the company, the interest of the charitable beneficiary in the shares sold terminates and the trustee must distribute the net proceeds of the sale to the purported record transferee and any dividends or other distributions held by the trustee with respect to such stock will be paid to the charitable beneficiary.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does not buy the shares, the trustee must, within 20 days of receiving notice from the company of the transfer of shares to the trust, sell the shares to a person or entity designated by the trustee who could own the shares without violating the common stock ownership limit or the preferred stock ownership limit, as applicable, and the aggregate stock ownership limit or such other limit as established by the company’s board of directors. After that, the trustee must distribute to the purported record transferee an amount equal to the lesser of (1) the price paid by the purported record transferee or owner for the shares (or, if the event which resulted in the transfer to the trust did not involve a purchase of such shares at market price, the last sales price reported on the NYSE on the trading day immediately preceding the day of the event which resulted in the transfer of such shares of the company’s stock to the trust) and (2) the sales proceeds (net of commissions and other expenses of sale) received by the trustee for the shares. The trustee may reduce the amount payable to the purported record transferee by the amount of dividends and distributions which have been paid to the purported record transferee and are owed by the purported record transferee to the trustee. Any net sales proceeds in excess of the amount payable to the purported record transferee will be immediately paid to the charitable beneficiary, together with any dividends or other distributions thereon. In addition, if prior to discovery by the company that shares of the company’s stock have been transferred to a trust, such shares of stock are sold by a purported record transferee, then such shares shall be deemed to have been sold on behalf of the trust and to the extent that the purported record transferee received an amount for or in respect of such shares that exceeds the amount that such purported record transferee was entitled to receive, such excess amount shall be paid to the trustee upon demand. The purported beneficial transferee or purported record transferee has no rights in the shares held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be designated by the company and will be unaffiliated with the company and with any purported record transferee or purported beneficial transferee. Prior to the sale of any shares in excess of the common stock ownership limit, the preferred stock ownership limit or the aggregate stock ownership limit by the trust, the trustee will receive, in trust for the beneficiary, all dividends and other distributions paid by the company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the shares in excess of the applicable ownership limit, and may also exercise all voting rights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Subject to Maryland law, effective as of the date that the shares have been transferred to the trust, the trustee will have the authority, at the trustee’s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rescind as void any vote cast by a purported record transferee prior to the company’s discovery that the shares have been transferred to the trust;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recast the vote in accordance with the desires of the trustee acting for the benefit of the beneficiary of the 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if the company has already taken irreversible corporate action, then the trustee may not rescind and recast the vote.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company’s board of directors or other permitted designees determine in good faith that a proposed transfer would violate the restrictions on ownership and transfer of the company’s stock set forth in the company’s charter, the company’s board of directors or other permitted designees will take such action as it deems or they deem advisable to refuse to give effect to or to prevent such transfer, including, but not limited to, causing the company to redeem shares of common stock or preferred stock, refusing to give effect to the transfer on the company’s books or instituting proceedings to enjoin the transfer. </w:t>
      </w:r>
    </w:p>
    <w:p>
      <w:pPr>
        <w:pStyle w:val="TextBody"/>
        <w:bidi w:val="0"/>
        <w:spacing w:before="240" w:after="0"/>
        <w:jc w:val="left"/>
        <w:rPr>
          <w:rFonts w:ascii="Times New Roman" w:hAnsi="Times New Roman"/>
          <w:sz w:val="20"/>
        </w:rPr>
      </w:pPr>
      <w:r>
        <w:rPr>
          <w:rFonts w:ascii="Times New Roman" w:hAnsi="Times New Roman"/>
          <w:sz w:val="20"/>
        </w:rPr>
        <w:t xml:space="preserve">Any beneficial owner or constructive owner of shares of the company’s stock and any person or entity (including the stockholder of record) who is holding shares of the company’s stock for a beneficial owner must, on request, provide the company with a completed questionnaire containing the information regarding the ownership of such shares, as set forth in the applicable Treasury Regulations. In addition, any person or entity that is a beneficial owner or constructive owner of shares of the company’s stock and any person or entity (including the stockholder of record) who is holding shares of the company’s stock for a beneficial owner or constructive owner shall, on request, be required to disclose to the company in writing such information as the company may request in order to determine the effect, if any, of such stockholder’s actual and constructive ownership of shares of the company’s stock on the company’s status as a REIT and to ensure compliance with the common stock ownership limit, the preferred stock ownership limit and the aggregate stock ownership limit, or as otherwise permitted by the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All certificates representing shares of the company’s common stock and preferred stock bear a legend referring to the restrictions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These restrictions on ownership and transfer could delay, defer or prevent a transaction or a change of control of the company that might involve a premium price for the company’s stock or otherwise be in the best interest of the company’s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914399_13"/>
      <w:bookmarkEnd w:id="27"/>
      <w:r>
        <w:rPr>
          <w:rFonts w:ascii="Times New Roman" w:hAnsi="Times New Roman"/>
          <w:b/>
          <w:sz w:val="20"/>
        </w:rPr>
        <w:t xml:space="preserve">DESCRIPTION OF THE PARTNERSHIP AGREEMENT OF DIGITAL REALTY TRUST, L.P.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only a summary of certain terms and provisions of the Nineteenth Amended and Restated Agreement of Limited Partnership of Digital Realty Trust, L.P., as amended, which we refer to as the partnership agreement, and is subject to, and qualified in its entirety by, the partnership agreement, a copy of which is filed as an exhibit to the registration statement of which this prospectus is a part.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partnership agreement, Digital Realty Trust, Inc., as the operating partnership’s sole general partner, exercises exclusive and complete responsibility and discretion in the operating partnership’s day-to-day management and control, can cause the operating partnership to enter into major transactions including acquisitions, dispositions and refinancings, subject to certain limited exceptions, and may not be removed as general partner by the limited partners. The limited partners do not have voting rights relating to the operating partnership’s operation and management, except in connection with matters, as described more fully below, involving amendments to the partnership agreement and transfers of the general partner’s interest. </w:t>
      </w:r>
    </w:p>
    <w:p>
      <w:pPr>
        <w:pStyle w:val="TextBody"/>
        <w:bidi w:val="0"/>
        <w:spacing w:before="240" w:after="0"/>
        <w:jc w:val="left"/>
        <w:rPr>
          <w:rFonts w:ascii="Times New Roman" w:hAnsi="Times New Roman"/>
          <w:sz w:val="20"/>
        </w:rPr>
      </w:pPr>
      <w:r>
        <w:rPr>
          <w:rFonts w:ascii="Times New Roman" w:hAnsi="Times New Roman"/>
          <w:sz w:val="20"/>
        </w:rPr>
        <w:t xml:space="preserve">The limited partners expressly acknowledged that Digital Realty Trust, Inc., as the operating partnership’s general partner, is acting for the benefit of the operating partnership, its limited partners and Digital Realty Trust, Inc.’s stockholders collectively. Neither Digital Realty Trust, Inc. nor its board of directors is under any obligation to give priority to the separate interests of the limited partners or Digital Realty Trust, Inc.’s stockholders in deciding whether to cause the operating partnership to take or decline to take any actions. If there is a conflict between the interests of Digital Realty Trust, Inc.’s stockholders on one hand and the operating partnership’s limited partners on the other, Digital Realty Trust, Inc. will endeavor in good faith to resolve the conflict in a manner not adverse to either Digital Realty Trust, Inc.’s stockholders or the operating partnership’s limited partners; provided, however, that for so long as Digital Realty Trust, Inc. owns a controlling interest in the operating partnership, any conflict that cannot be resolved in a manner not adverse to either Digital Realty Trust, Inc.’s stockholders or the operating partnership’s limited partners will be resolved in favor of Digital Realty Trust, Inc.’s stockholders. Digital Realty Trust, Inc. is not liable under the partnership agreement to the operating partnership or to any partner for monetary damages for losses sustained, liabilities incurred, or benefits not derived by limited partners in connection with such decisions, provided, that it has acted in good faith. </w:t>
      </w:r>
    </w:p>
    <w:p>
      <w:pPr>
        <w:pStyle w:val="TextBody"/>
        <w:bidi w:val="0"/>
        <w:spacing w:before="360" w:after="0"/>
        <w:jc w:val="left"/>
        <w:rPr>
          <w:rFonts w:ascii="Times New Roman" w:hAnsi="Times New Roman"/>
          <w:b/>
          <w:sz w:val="20"/>
        </w:rPr>
      </w:pPr>
      <w:r>
        <w:rPr>
          <w:rFonts w:ascii="Times New Roman" w:hAnsi="Times New Roman"/>
          <w:b/>
          <w:sz w:val="20"/>
        </w:rPr>
        <w:t xml:space="preserve">Transferability of Interests </w:t>
      </w:r>
    </w:p>
    <w:p>
      <w:pPr>
        <w:pStyle w:val="TextBody"/>
        <w:bidi w:val="0"/>
        <w:spacing w:before="120" w:after="0"/>
        <w:jc w:val="left"/>
        <w:rPr>
          <w:rFonts w:ascii="Times New Roman" w:hAnsi="Times New Roman"/>
          <w:sz w:val="20"/>
        </w:rPr>
      </w:pPr>
      <w:r>
        <w:rPr>
          <w:rFonts w:ascii="Times New Roman" w:hAnsi="Times New Roman"/>
          <w:sz w:val="20"/>
        </w:rPr>
        <w:t xml:space="preserve">Except in connection with a transaction described in “—Termination Transactions” below, Digital Realty Trust, Inc., as general partner, may not voluntarily withdraw from, or transfer or assign all or any portion of its interest in, the operating partnership without the consent of the holders of a majority of the limited partnership interests. Any transfer of units by the limited partners, except to immediate family members, to a trust for the benefit of a charitable beneficiary, to a lending institution as collateral for a bona fide loan or to an affiliate or member of such limited partner, will be subject to a right of first refusal by Digital Realty Trust, Inc. All transfers must be made only to “accredited investors” as defined under Rule 501 of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to the Partnership Agreement </w:t>
      </w:r>
    </w:p>
    <w:p>
      <w:pPr>
        <w:pStyle w:val="TextBody"/>
        <w:bidi w:val="0"/>
        <w:spacing w:before="120" w:after="0"/>
        <w:jc w:val="left"/>
        <w:rPr>
          <w:rFonts w:ascii="Times New Roman" w:hAnsi="Times New Roman"/>
          <w:sz w:val="20"/>
        </w:rPr>
      </w:pPr>
      <w:r>
        <w:rPr>
          <w:rFonts w:ascii="Times New Roman" w:hAnsi="Times New Roman"/>
          <w:sz w:val="20"/>
        </w:rPr>
        <w:t xml:space="preserve">Amendments to the partnership agreement may be proposed by Digital Realty Trust, Inc., as general partner, or by limited partners owning at least 25% of the units held by limited partners. </w:t>
      </w:r>
    </w:p>
    <w:p>
      <w:pPr>
        <w:pStyle w:val="TextBody"/>
        <w:bidi w:val="0"/>
        <w:spacing w:before="240" w:after="0"/>
        <w:jc w:val="left"/>
        <w:rPr>
          <w:rFonts w:ascii="Times New Roman" w:hAnsi="Times New Roman"/>
          <w:sz w:val="20"/>
        </w:rPr>
      </w:pPr>
      <w:r>
        <w:rPr>
          <w:rFonts w:ascii="Times New Roman" w:hAnsi="Times New Roman"/>
          <w:sz w:val="20"/>
        </w:rPr>
        <w:t xml:space="preserve">Generally, the partnership agreement may not be amended, modified or terminated without the approval of limited partners (other than limited partners 50% or more of whose equity is owned, directly or indirectly, by Digital Realty Trust, Inc. as general partner) holding a majority of all outstanding units held by limited partners. </w:t>
      </w:r>
    </w:p>
    <w:p>
      <w:pPr>
        <w:pStyle w:val="TextBody"/>
        <w:bidi w:val="0"/>
        <w:spacing w:before="240" w:after="0"/>
        <w:jc w:val="left"/>
        <w:rPr>
          <w:rFonts w:ascii="Times New Roman" w:hAnsi="Times New Roman"/>
          <w:sz w:val="20"/>
        </w:rPr>
      </w:pPr>
      <w:r>
        <w:rPr>
          <w:rFonts w:ascii="Times New Roman" w:hAnsi="Times New Roman"/>
          <w:sz w:val="20"/>
        </w:rPr>
        <w:t xml:space="preserve">As general partner, Digital Realty Trust, Inc. has the power to unilaterally make certain amendments to the partnership agreement without obtaining the consent of the limited partners as may be required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to Digital Realty Trust, Inc.’s obligations as general partner or surrender any right or power granted to it as general partner for the benefit of the limited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 the issuance of additional units or the admission, substitution, termination or withdrawal of partners in accordance with the partnership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 forth or amend the designations, rights, powers, duties and preferences of the holders of any additional units issued in accordance with the partnership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 a change of an inconsequential nature that does not adversely affect the limited partners in any material respect, or cure any ambiguity, correct or supplement any provisions of the partnership agreement not inconsistent with law or with other provisions of the partnership agreement, or make other changes concerning matters under the partnership agreement that will not otherwise be inconsistent with the partnership agreement or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satisfy any requirements, conditions or guidelines of federal or state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 changes that are reasonably necessary for Digital Realty Trust, Inc., as general partner, to maintain its status as a REIT;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the manner in which capital accounts are computed.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Amendments that would, among other things, convert a limited partner’s interest into a general partner’s interest, modify the limited liability of a limited partner, alter a partner’s right to receive any distributions or allocations of profits or losses, adversely alter or modify the redemption rights or alter the protections of the limited partners in connection with termination transactions described below must be approved by each limited partner that would be adversely affected by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without the written consent of a majority of the units held by limited partners (other than limited partners 50% or more of whose equity is owned, directly or indirectly, by Digital Realty Trust, Inc. as general partner), Digital Realty Trust, Inc., as general partner, may not do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in contravention of an express prohibition or limitation contained in the partnership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 any act that would subject a limited partner to liability as a general partner in any jurisdiction or any liability not contemplated in the partnership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contract, mortgage, loan or other agreement that prohibits or restricts, or has the effect of prohibiting or restricting, the ability of a limited partner to exercise its redemption/exchange rights explained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or conduct any business other than in connection with its role as the operating partnership’s general partner and its operation as a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an interest in real or personal property other than through the operating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 from the operating partnership or transfer any portion of its general partnership interest;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relieved of its obligations under the partnership agreement following any permitted transfer of its general partnership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Distributions to Unitholders </w:t>
      </w:r>
    </w:p>
    <w:p>
      <w:pPr>
        <w:pStyle w:val="TextBody"/>
        <w:bidi w:val="0"/>
        <w:spacing w:before="120" w:after="0"/>
        <w:jc w:val="left"/>
        <w:rPr>
          <w:rFonts w:ascii="Times New Roman" w:hAnsi="Times New Roman"/>
          <w:sz w:val="20"/>
        </w:rPr>
      </w:pPr>
      <w:r>
        <w:rPr>
          <w:rFonts w:ascii="Times New Roman" w:hAnsi="Times New Roman"/>
          <w:sz w:val="20"/>
        </w:rPr>
        <w:t xml:space="preserve">The partnership agreement provides that holders of common units are entitled to receive quarterly distributions of available cash on a pro rata basis in accordance with their respective percentage interests. Digital Realty Trust, Inc., as the sole holder of the operating partnership’s series J preferred units, series K preferred units and series L preferred units receives distributions from the operating partnership with respect to such preferred units in order to make the distributions to series J preferred stockholders, series K preferred stockholders and series L preferred stockholders of Digital Realty Trust,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Redemption/Exchange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Limited partners have the right to require the operating partnership to redeem part or all of their units for cash based upon the fair market value of an equivalent number of shares of Digital Realty Trust, Inc. common stock at the time of the redemption. Alternatively, Digital Realty Trust, Inc. may elect to acquire those units in exchange for shares of Digital Realty Trust, Inc. common stock. Digital Realty Trust, Inc.’s acquisition will be on a one-for-one basis, subject to adjustment in the event of stock splits, stock dividends, issuances of stock rights, specified extraordinary distributions and similar events. Digital Realty Trust, Inc. presently anticipates that it will elect to issue shares of its common stock in exchange for units in connection with each redemption request, rather than having the operating partnership redeem the units for cash. With each redemption or exchange, Digital Realty Trust, Inc.’s percentage ownership interest in the operating partnership increases. Limited partners who hold units may exercise this redemption right from time to time, in whole or in part, except when, as a consequence of shares of Digital Realty Trust, Inc. common stock being issued, any person’s actual or constructive stock ownership would exceed Digital Realty Trust, Inc.’s ownership limits, or any other limit as provided in its charter or as otherwise determined by its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number of units delivered by a limited partner for redemption would, if exchanged for common stock, exceed 9.8% of Digital Realty Trust, Inc.’s outstanding common stock and $50.0 million in gross value (based on a unit value equal to the trailing ten-day daily price of Digital Realty Trust, Inc. common stock) and Digital Realty Trust, Inc. is eligible to file a registration statement on Form S-3 under the Securities Act, then it may also elect to redeem the units with the proceeds from a public offering or private placement of its common stock. In the event it elects this option, Digital Realty Trust, Inc. may require the other limited partners also to elect whether or not to participate. If it does so, any limited partner who does not elect to participate will not be permitted to redeem units for the subsequent 12 months, subject to limited exceptions. Participating limited partners will receive on the redemption date the lesser of the cash the operating partnership would otherwise be required to pay for such units or the net proceeds per share in the public offering, but will have a limited opportunity to withdraw their units from the redemption immediately prior to the pricing of the public offering. Except as described above, a limited partner is not entitled to redeem common units, either for cash or shares of Digital Realty Trust, Inc. common stock, if exchanging the common units for shares of Digital Realty Trust, Inc. common stock would violate the ownership limits set forth in Digital Realty Trust, Inc.’s charter. </w:t>
      </w:r>
    </w:p>
    <w:p>
      <w:pPr>
        <w:pStyle w:val="TextBody"/>
        <w:bidi w:val="0"/>
        <w:spacing w:before="360" w:after="0"/>
        <w:jc w:val="left"/>
        <w:rPr>
          <w:rFonts w:ascii="Times New Roman" w:hAnsi="Times New Roman"/>
          <w:b/>
          <w:sz w:val="20"/>
        </w:rPr>
      </w:pPr>
      <w:r>
        <w:rPr>
          <w:rFonts w:ascii="Times New Roman" w:hAnsi="Times New Roman"/>
          <w:b/>
          <w:sz w:val="20"/>
        </w:rPr>
        <w:t xml:space="preserve">Partnership Right to Call Limited Partner Interests </w:t>
      </w:r>
    </w:p>
    <w:p>
      <w:pPr>
        <w:pStyle w:val="TextBody"/>
        <w:bidi w:val="0"/>
        <w:spacing w:before="120" w:after="0"/>
        <w:jc w:val="left"/>
        <w:rPr>
          <w:rFonts w:ascii="Times New Roman" w:hAnsi="Times New Roman"/>
          <w:sz w:val="20"/>
        </w:rPr>
      </w:pPr>
      <w:r>
        <w:rPr>
          <w:rFonts w:ascii="Times New Roman" w:hAnsi="Times New Roman"/>
          <w:sz w:val="20"/>
        </w:rPr>
        <w:t xml:space="preserve">At any time a limited partner owns fewer than 20,000 units or if a limited partners owns (i) partnership units that were granted as profit interest units to such limited partner on or after September 21, 2018 and/or (ii) partnership units that were acquired by such limited partner as a result of the conversion of profits interest units that were granted to such limited partner on after September 21, 2018, then at any time following the second anniversary of the date on which such limited partner ceases to provide services to the partnership, the general partner shall have the right, but not the obligation, from time to time to redeem all outstanding units owned by such limited partner.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of Additional Common Units, Preferred Units, Common Stock, Preferred Stock or Convertible Securities </w:t>
      </w:r>
    </w:p>
    <w:p>
      <w:pPr>
        <w:pStyle w:val="TextBody"/>
        <w:bidi w:val="0"/>
        <w:spacing w:before="120" w:after="0"/>
        <w:jc w:val="left"/>
        <w:rPr>
          <w:rFonts w:ascii="Times New Roman" w:hAnsi="Times New Roman"/>
          <w:sz w:val="20"/>
        </w:rPr>
      </w:pPr>
      <w:r>
        <w:rPr>
          <w:rFonts w:ascii="Times New Roman" w:hAnsi="Times New Roman"/>
          <w:sz w:val="20"/>
        </w:rPr>
        <w:t xml:space="preserve">As the operating partnership’s sole general partner, Digital Realty Trust, Inc. has the ability to cause the operating partnership to issue additional units representing general and limited partnership interests. These additional units may include preferred limited partnership units. In addition, Digital Realty Trust, Inc. may issue additional shares of its common stock or convertible securities, but only if it causes the operating partnership to issue to it partnership interests or rights, options, warrants or convertible or exchangeable securities of the operating partnership having designations, preferences and other rights, so that the economic interests of the operating partnership’s interests issued are substantially similar to the economic interests of the securities that Digital Realty Trust, Inc. has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 Matters </w:t>
      </w:r>
    </w:p>
    <w:p>
      <w:pPr>
        <w:pStyle w:val="TextBody"/>
        <w:bidi w:val="0"/>
        <w:spacing w:before="120" w:after="0"/>
        <w:jc w:val="left"/>
        <w:rPr>
          <w:rFonts w:ascii="Times New Roman" w:hAnsi="Times New Roman"/>
          <w:sz w:val="20"/>
        </w:rPr>
      </w:pPr>
      <w:r>
        <w:rPr>
          <w:rFonts w:ascii="Times New Roman" w:hAnsi="Times New Roman"/>
          <w:sz w:val="20"/>
        </w:rPr>
        <w:t xml:space="preserve">Digital Realty Trust, Inc. is the operating partnership’s “partnership representative” for U.S. federal income tax purposes and, as such, it has authority under the Code to handle tax audits and other proceedings on the operating partnership’s behalf. Further, as the operating partnership’s general partner, Digital Realty Trust, Inc. generally has the authority to make tax elections under the Code on the operating partnership’s behalf. </w:t>
      </w:r>
    </w:p>
    <w:p>
      <w:pPr>
        <w:pStyle w:val="TextBody"/>
        <w:bidi w:val="0"/>
        <w:spacing w:before="360" w:after="0"/>
        <w:jc w:val="left"/>
        <w:rPr>
          <w:rFonts w:ascii="Times New Roman" w:hAnsi="Times New Roman"/>
          <w:b/>
          <w:sz w:val="20"/>
        </w:rPr>
      </w:pPr>
      <w:r>
        <w:rPr>
          <w:rFonts w:ascii="Times New Roman" w:hAnsi="Times New Roman"/>
          <w:b/>
          <w:sz w:val="20"/>
        </w:rPr>
        <w:t xml:space="preserve">Allocations of Net Income and Net Losses to Partners </w:t>
      </w:r>
    </w:p>
    <w:p>
      <w:pPr>
        <w:pStyle w:val="TextBody"/>
        <w:bidi w:val="0"/>
        <w:spacing w:before="120" w:after="0"/>
        <w:jc w:val="left"/>
        <w:rPr>
          <w:rFonts w:ascii="Times New Roman" w:hAnsi="Times New Roman"/>
          <w:sz w:val="20"/>
        </w:rPr>
      </w:pPr>
      <w:r>
        <w:rPr>
          <w:rFonts w:ascii="Times New Roman" w:hAnsi="Times New Roman"/>
          <w:sz w:val="20"/>
        </w:rPr>
        <w:t xml:space="preserve">The operating partnership’s net income will generally be allocated to Digital Realty Trust, Inc. to the extent of the accrued preferred return on its preferred units, and then to Digital Realty Trust, Inc., as general partner, and the limited partners in accordance with the respective percentage interests in the common units issued by the operating partnership. Net loss will generally be allocated to Digital Realty Trust, Inc., as general partner, and the limited partners in accordance with the respective common percentage interests in the operating partnership until the limited partner’s capital is reduced to zero and any remaining net loss would be allocated to Digital Realty Trust, Inc. However, in some cases, losses may be disproportionately allocated to partners who have guaranteed our debt. The allocations described above are subject to special allocations relating to depreciation deductions and to compliance with the provisions of Sections 704(b) and 704(c) of the Code and the associated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Digital Realty Trust, Inc. may from time to time issue long-term incentive units, which are also referred to as profits interest units, to persons who provide services to the company for such consideration or for no consideration as it may determine to be appropriate, and admit such persons as limited partners. The long-term incentive units are similar to the operating partnership’s common units in many respects and rank </w:t>
      </w:r>
      <w:r>
        <w:rPr>
          <w:rFonts w:ascii="Times New Roman" w:hAnsi="Times New Roman"/>
          <w:i/>
          <w:sz w:val="20"/>
        </w:rPr>
        <w:t>pari passu</w:t>
      </w:r>
      <w:r>
        <w:rPr>
          <w:rFonts w:ascii="Times New Roman" w:hAnsi="Times New Roman"/>
          <w:sz w:val="20"/>
        </w:rPr>
        <w:t xml:space="preserve"> with the operating partnership’s common units as to the payment of regular and special periodic or other distributions except liquidating distributions. The long-term incentive units may be subject to vesting requirements. Initially, long-term incentive units do not have full parity with common units with respect to liquidating distributions. If such parity is reached, vested long-term incentive units may be converted into an equal number of common units of the operating partnership at any time, and thereafter enjoy all the rights of common units of the operating partnership, including redemption rights. </w:t>
      </w:r>
    </w:p>
    <w:p>
      <w:pPr>
        <w:pStyle w:val="TextBody"/>
        <w:bidi w:val="0"/>
        <w:spacing w:before="240" w:after="0"/>
        <w:jc w:val="left"/>
        <w:rPr>
          <w:rFonts w:ascii="Times New Roman" w:hAnsi="Times New Roman"/>
          <w:sz w:val="20"/>
        </w:rPr>
      </w:pPr>
      <w:r>
        <w:rPr>
          <w:rFonts w:ascii="Times New Roman" w:hAnsi="Times New Roman"/>
          <w:sz w:val="20"/>
        </w:rPr>
        <w:t xml:space="preserve">In order to achieve full parity with common units, long-term incentive units must be fully vested and the holder’s capital account balance in respect of such long-term incentive units must be equal to the capital account balance of a holder of an equivalent number of common units. The capital account balance attributable to each common unit is generally expected to be the same, in part because of the amount credited to a partner’s capital account upon their contribution of property to the operating partnership, and in part because the partnership agreement provides, in most cases, that allocations of income, gain, loss and deduction (which will adjust the partners’ capital accounts) are to be made to the common units on a proportionate basis. As a result, with respect to a number of long-term incentive units, it is possible to determine the capital account balance of an equivalent number of common units by multiplying the number of long-term incentive units by the capital account balance with respect to a common unit. </w:t>
      </w:r>
    </w:p>
    <w:p>
      <w:pPr>
        <w:pStyle w:val="TextBody"/>
        <w:bidi w:val="0"/>
        <w:spacing w:before="240" w:after="0"/>
        <w:jc w:val="left"/>
        <w:rPr>
          <w:rFonts w:ascii="Times New Roman" w:hAnsi="Times New Roman"/>
          <w:sz w:val="20"/>
        </w:rPr>
      </w:pPr>
      <w:r>
        <w:rPr>
          <w:rFonts w:ascii="Times New Roman" w:hAnsi="Times New Roman"/>
          <w:sz w:val="20"/>
        </w:rPr>
        <w:t xml:space="preserve">A partner’s initial capital account balance is equal to the amount the partner paid (or contributed to the operating partnership) for its units and is subject to subsequent adjustments, including with respect to the partner’s share of income, gain or loss of the operating partnership. Because a holder of long-term incentive units generally will not pay for the long-term incentive units, the initial capital account balance attributable to such long-term incentive units will be zero. However, the operating partnership is required to allocate income, gain, loss and deduction to the partners’ capital accounts in accordance with the terms of the partnership agreement, subject to applicable Treasury Regulations. The partnership agreement provides that holders of long-term incentive units will receive special allocations of gain in the event of a sale or “hypothetical sale” of assets of the operating partnership prior to the allocation of gain to Digital Realty Trust, Inc. or other limited partners with respect to their common units. The amount of such allocation will, to the extent of any such gain, be equal to the difference between the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account balance of a holder of long-term incentive units attributable to such units and the capital account balance attributable to an equivalent number of common units. If and when such gain allocation is fully made, a holder of long-term incentive units will have achieved full parity with holders of common units. To the extent that, upon an actual sale or a “hypothetical sale” of the operating partnership’s assets as described above, there is not sufficient gain to allocate to a holder’s capital account with respect to long-term incentive units, or if such sale or “hypothetical sale” does not occur, such units will not achieve parity with common units. </w:t>
      </w:r>
    </w:p>
    <w:p>
      <w:pPr>
        <w:pStyle w:val="TextBody"/>
        <w:bidi w:val="0"/>
        <w:spacing w:before="240" w:after="0"/>
        <w:jc w:val="left"/>
        <w:rPr>
          <w:rFonts w:ascii="Times New Roman" w:hAnsi="Times New Roman"/>
          <w:sz w:val="20"/>
        </w:rPr>
      </w:pPr>
      <w:r>
        <w:rPr>
          <w:rFonts w:ascii="Times New Roman" w:hAnsi="Times New Roman"/>
          <w:sz w:val="20"/>
        </w:rPr>
        <w:t xml:space="preserve">The term “hypothetical sale” refers to circumstances that are not actual sales of the operating partnership’s assets but that require certain adjustments to the value of the operating partnership’s assets and the partners’ capital account balances. Specifically, the partnership agreement provides that, from time to time, in accordance with applicable Treasury Regulations, the operating partnership will adjust the value of its assets to equal their respective fair market values, and adjust the partners’ capital accounts, in accordance with the terms of the partnership agreement, as if the operating partnership sold its assets for an amount equal to their value. Times for making such adjustments generally include the liquidation of the operating partnership, the acquisition of an additional interest in the operating partnership by a new or existing partner in exchange for more than a de minimis capital contribution, the distribution by the operating partnership to a partner of more than a de minimis amount of partnership property as consideration for an interest in the operating partnership, in connection with the grant of an interest in the operating partnership (other than a de minimis interest) as consideration for the performance of services to or for the benefit of the operating partnership (including the grant of a long-term incentive unit), the issuance by the operating partnership of certain noncompensatory options, the acquisition of a partnership interest upon the exercise of a noncompensatory option and at such other times as may be desirable or required to comply with the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operating partnership may also from time to time issue class C units or class D units to persons who provide services to it for such consideration or for no consideration as it may determine to be appropriate. If all applicable performance and other vesting conditions are satisfied with respect to a class C unit or a class D unit, the class C unit or class D unit, as applicable, will be treated in the same manner as the long-term incentive units issued by the operating partnership. Class C units and class D units are not entitled to quarterly distributions prior to the satisfaction of all applicable performance conditions. In addition, the operating partnership may issue class D units that are subject to performance vesting, which generally receive quarterly per-unit distributions equal to ten percent of the distributions made with respect to an equivalent number of common units. Class C units and class D units, other than class D units that are not performance vested, are subject to the same conditions as other long-term incentive units with respect to achieving full parity with common units. </w:t>
      </w:r>
    </w:p>
    <w:p>
      <w:pPr>
        <w:pStyle w:val="TextBody"/>
        <w:bidi w:val="0"/>
        <w:spacing w:before="360" w:after="0"/>
        <w:jc w:val="left"/>
        <w:rPr>
          <w:rFonts w:ascii="Times New Roman" w:hAnsi="Times New Roman"/>
          <w:b/>
          <w:sz w:val="20"/>
        </w:rPr>
      </w:pPr>
      <w:r>
        <w:rPr>
          <w:rFonts w:ascii="Times New Roman" w:hAnsi="Times New Roman"/>
          <w:b/>
          <w:sz w:val="20"/>
        </w:rPr>
        <w:t xml:space="preserve">Operations </w:t>
      </w:r>
    </w:p>
    <w:p>
      <w:pPr>
        <w:pStyle w:val="TextBody"/>
        <w:bidi w:val="0"/>
        <w:spacing w:before="120" w:after="0"/>
        <w:jc w:val="left"/>
        <w:rPr>
          <w:rFonts w:ascii="Times New Roman" w:hAnsi="Times New Roman"/>
          <w:sz w:val="20"/>
        </w:rPr>
      </w:pPr>
      <w:r>
        <w:rPr>
          <w:rFonts w:ascii="Times New Roman" w:hAnsi="Times New Roman"/>
          <w:sz w:val="20"/>
        </w:rPr>
        <w:t xml:space="preserve">The partnership agreement provides that Digital Realty Trust, Inc., as general partner, will determine in its discretion and distribute available cash on a quarterly basis, pro rata in accordance with the partners’ percentage interests. Available cash is the operating partnership’s net operating cash flow plus the reduction of any reserves and minus principal payment on debt and capital expenditures, investments in any entity, and increase in reserves or working capital accounts and any amounts paid in redemption of limited partner interests.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agreement provides that the operating partnership will assume and pay when due, or reimburse Digital Realty Trust, Inc. for payment of all costs and expenses relating to the operating partnership’s operations, or for the operating partnership’s benefit. </w:t>
      </w:r>
    </w:p>
    <w:p>
      <w:pPr>
        <w:pStyle w:val="TextBody"/>
        <w:bidi w:val="0"/>
        <w:spacing w:before="360" w:after="0"/>
        <w:jc w:val="left"/>
        <w:rPr>
          <w:rFonts w:ascii="Times New Roman" w:hAnsi="Times New Roman"/>
          <w:b/>
          <w:sz w:val="20"/>
        </w:rPr>
      </w:pPr>
      <w:r>
        <w:rPr>
          <w:rFonts w:ascii="Times New Roman" w:hAnsi="Times New Roman"/>
          <w:b/>
          <w:sz w:val="20"/>
        </w:rPr>
        <w:t xml:space="preserve">Termination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partnership agreement provides that Digital Realty Trust, Inc. may not engage in any merger, consolidation or other combination with or into another person, sale of all or substantially all of its assets or any reclassification or any recapitalization or change in outstanding shares of its common stock, which we refer to as a termination transaction, unless in connection with a termination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(i)</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obtains the consent of the holders of at least 35% of the operating partnership’s common units and long-term incentive units (including units held by 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(ii)</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limited partners will receive, or have the right to elect to receive, for each common unit an amount of cash, securities or other property equal to the product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Digital Realty Trust, Inc. common stock into which each unit is then exchangeable,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greatest amount of cash, securities or other property paid to the holder of one share of Digital Realty Trust, Inc. common stock in consideration of one share of Digital Realty Trust, Inc. common stock in connection with the termination transaction,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if, in connection with a termination transaction, a purchase, tender or exchange offer is made to and accepted by the holders of more than 50% of the outstanding shares of Digital Realty Trust, Inc. common stock, each holder of common units will receive, or will have the right to elect to receive, the greatest amount of cash, securities or other property which such holder would have received had it exercised its redemption right and received shares of Digital Realty Trust, Inc. common stock in exchange for its common units immediately prior to the expiration of such purchase, tender or exchange offer and accepted such purchase, tender or exchange offer; 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conditions are met: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substantially all of the assets of the surviving entity are held directly or indirectly by the operating partnership or another limited partnership or limited liability company which is the surviving partnership of a merger, consolidation or combination of assets with the operating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common units and long-term incentive units own a percentage interest of the surviving partnership based on the relative fair market value of the operating partnership’s net assets and the other net assets of the surviving partnership immediately prior to the consummation of this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preferences and privileges of such unit holders in the surviving partnership are at least as favorable as those in effect immediately prior to the consummation of the transaction and as those applicable to any other limited partners or non-managing members of the surviving partnership;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limited partners may exchange their interests in the surviving partnership for either the consideration available to the limited partners pursuant to paragraph (A) in this section, or the right to redeem their common units for cash on terms equivalent to those in effect with respect to their common units immediately prior to the consummation of the transaction, or, if the ultimate controlling person of the surviving partnership has publicly traded common equity securities, shares of those common equity securities, at an exchange ratio based on the relative fair market value of those securities and Digital Realty Trust, Inc. common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The operating partnership will continue in full force and effect until December 31, 2104, or until sooner dissolved in accordance with the operating partnership’s terms or as otherwise provided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and Limitation of Liability </w:t>
      </w:r>
    </w:p>
    <w:p>
      <w:pPr>
        <w:pStyle w:val="TextBody"/>
        <w:bidi w:val="0"/>
        <w:spacing w:before="120" w:after="0"/>
        <w:jc w:val="left"/>
        <w:rPr>
          <w:rFonts w:ascii="Times New Roman" w:hAnsi="Times New Roman"/>
          <w:sz w:val="20"/>
        </w:rPr>
      </w:pPr>
      <w:r>
        <w:rPr>
          <w:rFonts w:ascii="Times New Roman" w:hAnsi="Times New Roman"/>
          <w:sz w:val="20"/>
        </w:rPr>
        <w:t xml:space="preserve">To the extent permitted by applicable law, the partnership agreement indemnifies Digital Realty Trust, Inc., as general partner, and its officers, directors, employees, agents and any other persons it may designate from and against any and all claims arising from the operating partnership’s operations in which any indemnitee may be involved, or is threatened to be involved, as a party or otherwise, unless it is established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 or omission of the indemnitee was material to the matter giving rise to the proceeding and either was committed in bad faith, constituted fraud or was the result of active and deliberate dishonesty;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indemnitee actually received an improper personal benefit in money, property or services;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criminal proceeding, the indemnitee had reasonable cause to believe that the act or omission was unlawful.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Similarly, Digital Realty Trust, Inc., as the operating partnership’s general partner, and its officers, directors, agents or employees, are not liable or accountable to the operating partnership for losses sustained, liabilities incurred or benefits not derived as a result of errors in judgment or mistakes of fact or law or any act or omission so long as Digital Realty Trust, Inc. acted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914399_14"/>
      <w:bookmarkEnd w:id="28"/>
      <w:r>
        <w:rPr>
          <w:rFonts w:ascii="Times New Roman" w:hAnsi="Times New Roman"/>
          <w:b/>
          <w:sz w:val="20"/>
        </w:rPr>
        <w:t xml:space="preserve">MATERIAL PROVISIONS OF MARYLAND LAW AND OF THE CHARTER AND BYLAWS OF DIGITAL REALTY TRUST, INC.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summary of certain provisions of Maryland law and of Digital Realty Trust, Inc.’s charter and bylaws does not purport to be complete and is subject to and qualified in its entirety by reference to Maryland law and the company’s charter and bylaws, copies of which are exhibits to the registration statement of which this prospectus is a part. See “Where You Can Find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The Company’s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company’s bylaws provide that the number of directors of the company may be established by the company’s board of directors but may not be fewer than the minimum number permitted under the MGCL or more than 15. Except as may be provided by the company’s board of directors in setting the terms of any class or series of stock, any vacancy may be filled only by a vote of a majority of the remaining directors, even if the remaining directors do not constitute a quorum. Any director elected to fill a vacancy shall serve for the remainder of the full term of the directorship in which the vacancy occurred and until a successor is elected and qualifies. </w:t>
      </w:r>
    </w:p>
    <w:p>
      <w:pPr>
        <w:pStyle w:val="TextBody"/>
        <w:bidi w:val="0"/>
        <w:spacing w:before="240" w:after="0"/>
        <w:jc w:val="left"/>
        <w:rPr>
          <w:rFonts w:ascii="Times New Roman" w:hAnsi="Times New Roman"/>
          <w:sz w:val="20"/>
        </w:rPr>
      </w:pPr>
      <w:r>
        <w:rPr>
          <w:rFonts w:ascii="Times New Roman" w:hAnsi="Times New Roman"/>
          <w:sz w:val="20"/>
        </w:rPr>
        <w:t xml:space="preserve">Each of the company’s directors is elected by the company’s common stockholders to serve until the next annual meeting and until their successors are duly elected and qualify. Holders of shares of the company’s common stock will have no right to cumulative voting in the election of directors. Consequently, at each annual meeting of stockholders, the holders of a majority of the shares of the common stock will be able to elect all of the company’s directors. Additionally, in the event that the company is in arrears on dividends on the company’s series J preferred stock, series K preferred stock or series L preferred stock for six or more quarterly periods, whether or not consecutive, holders of the company’s series J preferred stock, series K preferred stock or series L preferred stock as the case may be, voting as a single class with all other series of preferred stock upon which like voting rights have been conferred and are exercisable, will have the right to elect two additional directors to the company’s board for a limited time. </w:t>
      </w:r>
    </w:p>
    <w:p>
      <w:pPr>
        <w:pStyle w:val="TextBody"/>
        <w:bidi w:val="0"/>
        <w:spacing w:before="360" w:after="0"/>
        <w:jc w:val="left"/>
        <w:rPr>
          <w:rFonts w:ascii="Times New Roman" w:hAnsi="Times New Roman"/>
          <w:b/>
          <w:sz w:val="20"/>
        </w:rPr>
      </w:pPr>
      <w:r>
        <w:rPr>
          <w:rFonts w:ascii="Times New Roman" w:hAnsi="Times New Roman"/>
          <w:b/>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charter provides that a director may be removed only for cause (as defined in the company’s charter) and only by the affirmative vote of stockholders entitled to cast at least two-thirds of the votes entitled to be cast generally in the election of directors. This provision, when coupled with the exclusive power of the company’s board of directors to fill vacant directorships, precludes stockholders from (1) removing incumbent directors except upon the existence of cause for removal and a substantial affirmative vote and (2) filling the vacancies created by such removal with their own nominees. In addition, any director elected to the company’s board by the holders of the company’s preferred stock may only be removed by a vote of preferred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MGCL, certain “business combinations” (including a merger, consolidation, share exchange or, in certain circumstances, an asset transfer or issuance or reclassification of equity securities) between a Maryland corporation and any interested stockholder, or an affiliate of such an interested stockholder, are prohibited for five years after the most recent date on which the interested stockholder becomes an interested stockholder. Maryland law defines an interested stockholder as any person who beneficially owns, directly or indirectly, 10% or more of the voting power of the corporation’s outstanding voting stock or an affiliate or associate of the corporation who, at any time within the two-year period prior to the date in question, was the beneficial owner of, directly or indirectly, 10% or more of the voting power of the then outstanding stock of the corporation. A person is not an interested stockholder under the statute if the board of directors approved in advance the transaction by which the person otherwise would have become an interested stockholder. The company’s board of directors may provide that its approval is subject to compliance with any terms and conditions determined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such five-year period, any such business combination must be recommended by the board of directors of such corporation and approved by the affirmative vote of at least (1) 80% of the votes entitled to be cast by holders of outstanding shares of voting stock of the corporation and (2) two-thirds of the votes entitled to be cast by holders of voting stock of the corporation other than shares held by the interested stockholder with whom (or with whose affiliate) the business combination is to be effected or by an affiliate or associate of the interested stockholder, unless, among other conditions, the corporation’s common stockholders receive a minimum price (as defined in the MGCL) for their shares and the consideration is received in cash or in the same form as previously paid by the interested stockholder for its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of the MGCL do not apply, however, to business combinations that are approved or exempted by a board of directors prior to the time that the interested stockholder becomes an interested stockholder. Pursuant to the statute, the company’s board of directors has by resolution opted out of the business combination provisions of the MGCL and, consequently, the five-year prohibition and the supermajority vote requirements will not apply to business combinations between us and any interested stockholder of the company. As a result, anyone who later becomes an interested stockholder may be able to enter into business combinations with the company that may not be in the best interest of the company’s stockholders without compliance by the company with the super-majority vote requirements and the other provisions of the statute. The company cannot assure you that its board of directors will not opt to be subject to such business combination provisions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Control Share Acquisitions </w:t>
      </w:r>
    </w:p>
    <w:p>
      <w:pPr>
        <w:pStyle w:val="TextBody"/>
        <w:bidi w:val="0"/>
        <w:spacing w:before="120" w:after="0"/>
        <w:jc w:val="left"/>
        <w:rPr>
          <w:rFonts w:ascii="Times New Roman" w:hAnsi="Times New Roman"/>
          <w:sz w:val="20"/>
        </w:rPr>
      </w:pPr>
      <w:r>
        <w:rPr>
          <w:rFonts w:ascii="Times New Roman" w:hAnsi="Times New Roman"/>
          <w:sz w:val="20"/>
        </w:rPr>
        <w:t xml:space="preserve">The MGCL provides that “control shares” of a Maryland corporation acquired in a “control share acquisition” have no voting rights except to the extent approved at a special meeting by the affirmative vote of stockholders entitled to cast two-thirds of the votes entitled to be cast on the matter, excluding shares of stock in a corporation in respect of which any of the following persons is entitled to exercise or direct the exercise of the voting power of shares of stock of the corporation in the election of directors: (1) a person who makes or proposes to make a control share acquisition, (2) an officer of the corporation or (3) an employee of the corporation who is also a director of the corporation. “Control shares” are voting shares of stock which, if aggregated with all other such shares of stock previously acquired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 (1) one-tenth or more but less than one-third, (2) one-third or more but less than a majority, or (3) a majority or more of all voting power. Control shares do not include shares the acquiring person is then entitled to vote as a result of having previously obtained stockholder approval. A “control share acquisition” means the acquisition of issued and outstanding control shares,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A person who has made or proposes to make a control share acquisition, upon satisfaction of certain conditions (including an undertaking to pay expenses), may compel the company’s board of directors to call a special meeting of stockholders to be held within 50 days of demand to consider the voting rights of the control shares. If no request for a meeting is made, the corporation may itself present the question at any stockholders’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If voting rights of control shares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any meeting of stockholders at which the voting rights of such shares are considered and not approved or, if no such meeting is held, as of the date of the last control share acquisition by the acquiror. If voting rights for control shares are approved at a stockholders’ meeting and the acquiror becomes entitled to vote a majority of the shares entitled to vote, all other stockholders may exercise appraisal rights. The fair value of the shares as determined for purposes of such appraisal rights may not be less than the highest price per share paid by the acquiror in the control share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control share acquisition statute does not apply (1) to shares acquired in a merger, consolidation or share exchange if the corporation is a party to the transaction or (2) to acquisitions approved or exempted by the charter or bylaws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company’s bylaws contain a provision exempting from the control share acquisition statute any and all acquisitions by any person of the company’s stock. The company cannot provide you any assurance that its board of directors will not amend or eliminate this provision at any time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Subtitle 8 </w:t>
      </w:r>
    </w:p>
    <w:p>
      <w:pPr>
        <w:pStyle w:val="TextBody"/>
        <w:bidi w:val="0"/>
        <w:spacing w:before="120" w:after="0"/>
        <w:jc w:val="left"/>
        <w:rPr>
          <w:rFonts w:ascii="Times New Roman" w:hAnsi="Times New Roman"/>
          <w:sz w:val="20"/>
        </w:rPr>
      </w:pPr>
      <w:r>
        <w:rPr>
          <w:rFonts w:ascii="Times New Roman" w:hAnsi="Times New Roman"/>
          <w:sz w:val="20"/>
        </w:rPr>
        <w:t xml:space="preserve">Title 3, Subtitle 8 of the MGCL permits a Maryland corporation with a class of equity securities registered under the Exchange Act and at least three independent directors to elect to be subject, by provision in its charter or bylaws or a resolution of its board of directors and notwithstanding any contrary provision in the charter or bylaws, to any of (1) a classified board of directors, (2) a two-thirds vote requirement for removing a director, (3) a requirement that the number of directors be fixed only by vote of the directors, (4) a requirement that a vacancy on the board of directors be filled only by the remaining directors and for the remainder of the full term of the class of directors in which the vacancy occurred, or (5) a majority requirement for the calling of a stockholder-requested special meeting of stockholders. Pursuant to Subtitle 8, the company has elected to provide that vacancies on its board of directors may be filled only by the remaining directors and for the remainder of the full term of the directorship in which the vacancy occurred. Through provisions in the company’s charter and bylaws unrelated to Subtitle 8, the company already requires a two-thirds vote for the removal of any director from the board of directors, vests in the board of directors the exclusive power to fix the number of directorships and requires, unless called by the chair of the company’s board of directors, or the company’s president, chief executive officer or board of directors, the written request of stockholders entitled to cast a majority of all the votes entitled to be cast on any matter that may be properly considered at a meeting of stockholders to call a special meeting to act on such matter.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to the Company’s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charter generally may be amended only if such amendment is declared advisable by the company’s board of directors and approved by the affirmative vote of stockholders entitled to cast a majority of all of the votes entitled to be cast on the matter. In the case of an amendment that would materially and adversely affect the company’s series J preferred stock, series K preferred stock or series L preferred stock, the consent of the holders of two-thirds of the outstanding shares of the company’s series J preferred stock, series K preferred stock or series L preferred stock, as the case may be, voting as a single class with all other classes or series of preferred stock ranking on parity with respect to the payment of dividends and distribution of assets upon the company’s liquidation and upon which like voting rights have been conferred is also required. However, the company’s charter’s provisions regarding removal of directors and the vote required for certain amendments may be amended only if such amendment is declared advisable by the company’s board of directors and approved by the affirmative vote of stockholders entitled to cast not less than two-thirds of all the votes entitled to be cast on the matter. The company’s board of directors has the power to adopt, alter or repeal any provision of the company’s bylaws or to make new bylaws. In addition, pursuant to a proposal that is submitted to the stockholders of the company for approval at a duly called annual or special meeting of stockholders in accordance with the company’s bylaws and is otherwise permitted by applicable law, the stockholders of the company may alter or repeal the company’s bylaws, or adopt new bylaws, provided such alteration, repeal or adoption is approved by the affirmative vote of a majority of all the votes entitled to be cast on the matter. However, the stockholders may not alter or repeal, or adopt new bylaws inconsistent with, the provisions of the bylaws relating to indemnification or the amendment of the bylaws without the approval of the company’s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Transactions Outside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not merge with or into another company, convert to another entity, sell all or substantially all of its assets, engage in a share exchange or engage in similar transactions outside the ordinary course of business unless the transaction is declared advisable by the company’s board of directors and approved by the affirmative vote of stockholders entitled to cast a majority of all of the votes entitled to be cast on the matter. In the case of any such transaction that would materially and adversely affect the company’s series J preferred stock, series K preferred stock or series L preferred stock, the company will also require the consent of the holders of two-thirds of the outstanding shares of the company’s series J preferred stock, series K preferred stock or series L preferred stock, as the case may be, voting as a single class with all other classes or series of preferred stock ranking on parity with respect to the payment of dividends and distribution of assets upon the company’s liquidation and upon which like voting rights have been conferred, </w:t>
      </w:r>
      <w:r>
        <w:rPr>
          <w:rFonts w:ascii="Times New Roman" w:hAnsi="Times New Roman"/>
          <w:i/>
          <w:sz w:val="20"/>
        </w:rPr>
        <w:t>provided</w:t>
      </w:r>
      <w:r>
        <w:rPr>
          <w:rFonts w:ascii="Times New Roman" w:hAnsi="Times New Roman"/>
          <w:sz w:val="20"/>
        </w:rPr>
        <w:t xml:space="preserve">, however, that if, upon the occurrence of such a transaction, series J preferred stock, series K preferred stock or series L preferred stock, as the case may be, remains outstanding with materially unchanged terms, taking into account that the company may not be the surviving entity, then the transaction will not be deemed to materially and adversely affect the company’s series J preferred stock, series K preferred stock or series L preferred stock. Furthermore, the company’s charter expressly provides that the consent of series J, series K or series L preferred stockholders is not required for a transaction if, pursuant to such a transaction, series J, series K and series L preferred stockholders receive the greater of the full trading price of the series J preferred stock, series K preferred stock or series L preferred stock, as the case may be, on the date of the transaction or the liquidation preference.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Dissolution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dissolution of the company must be declared advisable by a majority of the company’s entire board of directors and approved by the affirmative vote of stockholders entitled to cast a majority of all of the votes entitled to be cast on the matter. </w:t>
      </w:r>
    </w:p>
    <w:p>
      <w:pPr>
        <w:pStyle w:val="TextBody"/>
        <w:bidi w:val="0"/>
        <w:spacing w:before="480" w:after="0"/>
        <w:jc w:val="left"/>
        <w:rPr>
          <w:rFonts w:ascii="Times New Roman" w:hAnsi="Times New Roman"/>
          <w:b/>
          <w:sz w:val="20"/>
        </w:rPr>
      </w:pPr>
      <w:r>
        <w:rPr>
          <w:rFonts w:ascii="Times New Roman" w:hAnsi="Times New Roman"/>
          <w:b/>
          <w:sz w:val="20"/>
        </w:rPr>
        <w:t xml:space="preserve">Advance Notice of Director Nominations and New Business </w:t>
      </w:r>
    </w:p>
    <w:p>
      <w:pPr>
        <w:pStyle w:val="TextBody"/>
        <w:bidi w:val="0"/>
        <w:spacing w:before="120" w:after="0"/>
        <w:jc w:val="left"/>
        <w:rPr>
          <w:rFonts w:ascii="Times New Roman" w:hAnsi="Times New Roman"/>
          <w:sz w:val="20"/>
        </w:rPr>
      </w:pPr>
      <w:r>
        <w:rPr>
          <w:rFonts w:ascii="Times New Roman" w:hAnsi="Times New Roman"/>
          <w:sz w:val="20"/>
        </w:rPr>
        <w:t xml:space="preserve">The company’s bylaws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 annual meeting of stockholders, nominations of individuals for election to the company’s board of directors and the proposal of business to be considered by stockholders may be made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company’s notice of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or at the direction of the company’s board of directors;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 stockholder who is a stockholder of record at the record date set by the Board of Directors for the purpose of determining stockholders entitled to vote at the annual meeting, at the time of giving the advance notice required by the company’s bylaws and at the time of the meeting (and any postponement or adjournment thereof), who is entitled to vote at the meeting in the election of each individual so nominated or any such other business and who has complied with the advance notice procedures set forth in the company’s bylaws;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special meetings of stockholders, only the business specified in the company’s notice of meeting may be brought before the meeting of stockholders and nominations of individuals for election to the company’s board of directors may be made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or at the direction of the company’s board of directors;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that the special meeting has been called in accordance with the bylaws for the purpose of electing directors, by a stockholder who is a stockholder of record at the record date set by the Board of Directors for the purpose of determining stockholders entitled to vote at the annual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meeting, at the time of giving the advance notice required by the company’s bylaws and at the time of the meeting (and any postponement or adjournment thereof), who is entitled to vote at the meeting and in the election of each individual so nominated who has complied with the advance notice provisions set forth in the company’s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advance notice procedures of the company’s bylaws provide that, to be timely, a stockholder’s notice with respect to director nominations or proposals for an annual meeting must be delivered to the company’s corporate secretary at the company’s principal executive office not earlier than the 150th day nor later than 5:00 p.m., Central Time, on the 120th day prior to the first anniversary of the date of the proxy statement for the company’s preceding year’s annual meeting. If the date of the annual meeting is advanced or delayed by more than 30 days from the first anniversary of the date of the preceding year’s annual meeting, to be timely, a stockholder’s notice must be delivered not earlier than the 150th day prior to the date of such annual meeting and not later than 5:00 p.m., Central time, on the later of the 120th day prior to the date of such annual meeting, as originally convened, or the tenth day following the day on which public announcement of the date of such meeting is first made. </w:t>
      </w:r>
    </w:p>
    <w:p>
      <w:pPr>
        <w:pStyle w:val="TextBody"/>
        <w:bidi w:val="0"/>
        <w:spacing w:before="360" w:after="0"/>
        <w:jc w:val="left"/>
        <w:rPr>
          <w:rFonts w:ascii="Times New Roman" w:hAnsi="Times New Roman"/>
          <w:b/>
          <w:sz w:val="20"/>
        </w:rPr>
      </w:pPr>
      <w:r>
        <w:rPr>
          <w:rFonts w:ascii="Times New Roman" w:hAnsi="Times New Roman"/>
          <w:b/>
          <w:sz w:val="20"/>
        </w:rPr>
        <w:t xml:space="preserve">Proxy Access </w:t>
      </w:r>
    </w:p>
    <w:p>
      <w:pPr>
        <w:pStyle w:val="TextBody"/>
        <w:bidi w:val="0"/>
        <w:spacing w:before="120" w:after="0"/>
        <w:jc w:val="left"/>
        <w:rPr>
          <w:rFonts w:ascii="Times New Roman" w:hAnsi="Times New Roman"/>
          <w:sz w:val="20"/>
        </w:rPr>
      </w:pPr>
      <w:r>
        <w:rPr>
          <w:rFonts w:ascii="Times New Roman" w:hAnsi="Times New Roman"/>
          <w:sz w:val="20"/>
        </w:rPr>
        <w:t xml:space="preserve">The company’s bylaws contain proxy access provisions which permit any stockholder or group of up to 20 shareholders owning at least 3% of the company’s outstanding shares of common stock continuously for at least three years to nominate and include up to a specified number of director nominees in the company’s proxy materials for an annual meeting of shareholders. The maximum number of stockholder nominees permitted under these proxy access provisions shall not exceed 20% of the total number of directors in office as of the last day on which a stockholder nomination may be delivered. </w:t>
      </w:r>
    </w:p>
    <w:p>
      <w:pPr>
        <w:pStyle w:val="TextBody"/>
        <w:bidi w:val="0"/>
        <w:spacing w:before="240" w:after="0"/>
        <w:jc w:val="left"/>
        <w:rPr>
          <w:rFonts w:ascii="Times New Roman" w:hAnsi="Times New Roman"/>
          <w:sz w:val="20"/>
        </w:rPr>
      </w:pPr>
      <w:r>
        <w:rPr>
          <w:rFonts w:ascii="Times New Roman" w:hAnsi="Times New Roman"/>
          <w:sz w:val="20"/>
        </w:rPr>
        <w:t xml:space="preserve">Under such proxy access provisions, a stockholder’s written notice of nominations of individuals for election to the company’s board of directors to be included in the company’s proxy statement for an annual meeting must be delivered to the secretary of the company at the company’s principal executive offices not earlier than the 150th day nor later than 5:00 p.m., Central Time, on the 120th day prior to the anniversary of the date of the proxy statement for the preceding year’s annual meeting of stockholders. Neither the postponement or adjournment of an annual meeting, nor the public disclosure of such postponement or adjournment, commences a new time period for the giving of a stockholder’s written notice.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 of Certain Provisions of Maryland Law and of the Company’s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company’s charter on removal of directors and the advance notice provisions of the bylaws could delay, defer or prevent a transaction or a change of control of the company that might involve a premium price for holders of the company’s common stock or otherwise be in their best interest. Likewise, if the company’s board of directors were to opt in to the business combination provisions of the MGCL or the provisions of Title 3, Subtitle 8 of the MGCL not already applicable to the company, or if the provision in the bylaws opting out of the control share acquisition provisions of the MGCL were rescinded, these provisions of the MGCL could have similar anti-takeover effects. </w:t>
      </w:r>
    </w:p>
    <w:p>
      <w:pPr>
        <w:pStyle w:val="TextBody"/>
        <w:bidi w:val="0"/>
        <w:spacing w:before="360" w:after="0"/>
        <w:jc w:val="left"/>
        <w:rPr>
          <w:rFonts w:ascii="Times New Roman" w:hAnsi="Times New Roman"/>
          <w:b/>
          <w:sz w:val="20"/>
        </w:rPr>
      </w:pPr>
      <w:r>
        <w:rPr>
          <w:rFonts w:ascii="Times New Roman" w:hAnsi="Times New Roman"/>
          <w:b/>
          <w:sz w:val="20"/>
        </w:rPr>
        <w:t xml:space="preserve">Ownership Limit </w:t>
      </w:r>
    </w:p>
    <w:p>
      <w:pPr>
        <w:pStyle w:val="TextBody"/>
        <w:bidi w:val="0"/>
        <w:spacing w:before="120" w:after="0"/>
        <w:jc w:val="left"/>
        <w:rPr>
          <w:rFonts w:ascii="Times New Roman" w:hAnsi="Times New Roman"/>
          <w:sz w:val="20"/>
        </w:rPr>
      </w:pPr>
      <w:r>
        <w:rPr>
          <w:rFonts w:ascii="Times New Roman" w:hAnsi="Times New Roman"/>
          <w:sz w:val="20"/>
        </w:rPr>
        <w:t xml:space="preserve">The company’s charter provides that no person or entity may beneficially own, or be deemed to own by virtue of the applicable constructive ownership provisions of the Code, more than 9.8% (by value or by number of shares, whichever is more restrictive) of the outstanding shares of the company’s common stock or any series of preferred stock or more than 9.8% of the value of the company’s outstanding capital stock. The company refers to these restrictions as the “ownership limits.” For a fuller description of this restriction and the constructive ownership rules, see “Restrictions on Ownership and Transfer.”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and Limitation of Directors’ and Officers’ Liability </w:t>
      </w:r>
    </w:p>
    <w:p>
      <w:pPr>
        <w:pStyle w:val="TextBody"/>
        <w:bidi w:val="0"/>
        <w:spacing w:before="120" w:after="0"/>
        <w:jc w:val="left"/>
        <w:rPr>
          <w:rFonts w:ascii="Times New Roman" w:hAnsi="Times New Roman"/>
          <w:sz w:val="20"/>
        </w:rPr>
      </w:pPr>
      <w:r>
        <w:rPr>
          <w:rFonts w:ascii="Times New Roman" w:hAnsi="Times New Roman"/>
          <w:sz w:val="20"/>
        </w:rPr>
        <w:t xml:space="preserve">The MGCL permits a Maryland corporation to include in its charter a provision limiting the liability of its directors and officers to the corporation and its stockholders for money damages except for liability resulting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actual receipt of an improper benefit or profit in money, property or services or active and deliberate dishonesty established by a final judgment as being material to the cause of action. The company’s charter contains such a provision which eliminates such liability to the maximum extent permitted by Maryland law. </w:t>
      </w:r>
    </w:p>
    <w:p>
      <w:pPr>
        <w:pStyle w:val="TextBody"/>
        <w:bidi w:val="0"/>
        <w:spacing w:before="240" w:after="0"/>
        <w:jc w:val="left"/>
        <w:rPr>
          <w:rFonts w:ascii="Times New Roman" w:hAnsi="Times New Roman"/>
          <w:sz w:val="20"/>
        </w:rPr>
      </w:pPr>
      <w:r>
        <w:rPr>
          <w:rFonts w:ascii="Times New Roman" w:hAnsi="Times New Roman"/>
          <w:sz w:val="20"/>
        </w:rPr>
        <w:t xml:space="preserve">The MGCL requires a corporation (unless its charter provides otherwise, which the company’s charter does not) to indemnify a director or officer who has been successful, on the merits or otherwise, in the defense of any proceeding to which he or she is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are threatened to be made a party by reason of their service in those or other capacities unless it is established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 or omission of the director or officer was material to the matter giving rise to the proceeding,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committed in bad faith;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the result of active and deliberate dishonesty;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 or officer actually received an improper personal benefit in money, property or services;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criminal proceeding, the director or officer had reasonable cause to believe that the act or omission was unlawful.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under the MGCL, a Maryland corporation may not indemnify for an adverse judgment in a suit by or in the right of the corporation or for a judgment of liability on the basis that personal benefit was improperly received, unless in either case a court orders indemnification and then only for expenses. In addition, the MGCL permits a corporation to advance reasonable expenses to a director or officer upon the corporation’s receipt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written affirmation by the director or officer of his or her good faith belief that he or she has met the standard of conduct necessary for indemnification by the corporation;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written undertaking by the director or officer or on the director’s or officer’s behalf to repay the amount paid or reimbursed by the corporation if it is ultimately determined that the director or officer did not meet the standard of conduct.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charter authorizes the company to obligate it and the company’s bylaws obligate it, to the maximum extent permitted by Maryland law in effect from time to time, to indemnify and, without requiring a preliminary determination of the ultimate entitlement to indemnification, pay or reimburse reasonable expenses in advance of final disposition of a proceeding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present or former director or officer who is made or threatened to be made a party to the proceeding by reason of his or her service in that capacity;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individual who, while a director or officer of the company and at the company’s request, serves or has served at another corporation, REIT, partnership, joint venture, trust, limited liability company, employee benefit plan or any other enterprise as a director, officer, partner, trustee, member or manager and who is made or threatened to be made a party to the proceeding by reason of his or her service in that capacity.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rights to indemnification and advancement of expenses provided by the company’s charter and bylaws shall vest immediately upon election of a director or officer. </w:t>
      </w:r>
    </w:p>
    <w:p>
      <w:pPr>
        <w:pStyle w:val="TextBody"/>
        <w:bidi w:val="0"/>
        <w:spacing w:before="240" w:after="0"/>
        <w:jc w:val="left"/>
        <w:rPr>
          <w:rFonts w:ascii="Times New Roman" w:hAnsi="Times New Roman"/>
          <w:sz w:val="20"/>
        </w:rPr>
      </w:pPr>
      <w:r>
        <w:rPr>
          <w:rFonts w:ascii="Times New Roman" w:hAnsi="Times New Roman"/>
          <w:sz w:val="20"/>
        </w:rPr>
        <w:t xml:space="preserve">The company’s charter and bylaws also permit the company to indemnify and advance expenses to any person who served a predecessor of the company in any of the capacities described above and to any employee or agent of the company or a predecessor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partnership agreement provides that the company, as general partner, and the company’s officers and directors are indemnified to the fullest extent permitted by law. See “Description of the Partnership Agreement of Digital Realty Trust, L.P.—Indemnification and Limitation of Liability.” The company has also entered into indemnification agreements with each of its executive officers and directors that obligate the company to indemnify them to the maximum extent permitted by Maryland law. </w:t>
      </w:r>
    </w:p>
    <w:p>
      <w:pPr>
        <w:pStyle w:val="TextBody"/>
        <w:bidi w:val="0"/>
        <w:spacing w:before="240" w:after="0"/>
        <w:jc w:val="left"/>
        <w:rPr>
          <w:rFonts w:ascii="Times New Roman" w:hAnsi="Times New Roman"/>
          <w:sz w:val="20"/>
        </w:rPr>
      </w:pPr>
      <w:r>
        <w:rPr>
          <w:rFonts w:ascii="Times New Roman" w:hAnsi="Times New Roman"/>
          <w:sz w:val="20"/>
        </w:rPr>
        <w:t xml:space="preserve">Insofar as the foregoing provisions permit indemnification of directors, officers or persons controlling us for liability arising under the Securities Act, we have been informed that in the opinion of the SEC, this indemnification is against public policy as expressed in the Securities Act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The company’s bylaws provide that, unless the company consents in writing to the selection of an alternative forum, the Circuit Court for Baltimore City, Maryland, or, if that Court does not have jurisdiction, the United States District Court for the District of Maryland, Baltimore Division, will be the sole and exclusive forum for (a) any derivative action or proceeding brought on behalf of the company, (b) any action asserting a claim of breach of any duty owed by any director or officer or other employee of the company to the company or to the stockholders of the company, (c) any action asserting a claim against the company or any director or officer or other employee of the company arising pursuant to any provision of the MGCL or the company’s charter or bylaws, or (d) any action asserting a claim against the company or any director or officer or other employee of the company that is governed by the internal affairs doctrine.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914399_15"/>
      <w:bookmarkEnd w:id="29"/>
      <w:r>
        <w:rPr>
          <w:rFonts w:ascii="Times New Roman" w:hAnsi="Times New Roman"/>
          <w:b/>
          <w:sz w:val="20"/>
        </w:rPr>
        <w:t xml:space="preserve">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summary of certain material U.S. federal income tax considerations regarding our company’s election to be taxed as a real estate investment trust, or a REIT, and the acquisition, ownership or disposition of our capital stock or the operating partnership’s debt securities. Supplemental U.S. federal income tax considerations relevant to holders of the securities offered by this prospectus may be provided in the prospectus supplement that relates to those securities. For purposes of this discussion, references to “we,” “our” and “us” mean only Digital Realty Trust, Inc., and do not include any of its subsidiaries, except as otherwise indicated. This summary is for general information only and is not tax advice. The information in this summary is based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Internal Revenue Code of 1986, as amended, or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current, temporary and proposed Treasury regulations promulgated under the Code, or the Treasury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legislative history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administrative interpretations and practices of the Internal Revenue Service, or the 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court decisions;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as of the date of this prospectus. In addition, the administrative interpretations and practices of the IRS include its practices and policies as expressed in private letter rulings that are not binding on the IRS except with respect to the particular taxpayers who requested and received those rulings. The sections of the Code and the corresponding Treasury Regulations that relate to qualification and taxation as a REIT are highly technical and complex. The following discussion sets forth certain material aspects of the sections of the Code that govern the U.S. federal income tax treatment of a REIT and its stockholders and the holders of the operating partnership’s debt securities. This summary is qualified in its entirety by the applicable Code provisions, Treasury Regulations, and administrative and judicial interpretations thereof. Potential tax reforms may result in significant changes to the rules governing U.S. federal income taxation. New legislation, Treasury Regulations, administrative interpretations and practices and/or court decisions may significantly and adversely affect our ability to qualify as a REIT, the U.S. federal income tax consequences of such qualification, or the U.S. federal income tax consequences of an investment in our capital stock or the operating partnership’s debt securities, including those described in this discussion. Moreover, the law relating to the tax treatment of other entities, or an investment in other entities, could change, making an investment in such other entities more attractive relative to an investment in a REIT. Any such changes could apply retroactively to transactions preceding the date of the change. We have not requested, and do not plan to request, any rulings from the IRS that we qualify as a REIT, and the statements in this prospectus are not binding on the IRS or any court. Thus, we can provide no assurance that the tax considerations contained in this discussion will not be challenged by the IRS or will be sustained by a court if challenged by the IRS. This summary does not discuss any state, local or non-U.S. tax consequences, or any tax consequences arising under any U.S. federal tax laws other than U.S. federal income tax laws, associated with the purchase, ownership or disposition of our capital stock or the operating partnership’s debt securities, or our election to be taxed as a REIT. </w:t>
      </w:r>
    </w:p>
    <w:p>
      <w:pPr>
        <w:pStyle w:val="TextBody"/>
        <w:bidi w:val="0"/>
        <w:spacing w:before="360" w:after="0"/>
        <w:jc w:val="left"/>
        <w:rPr>
          <w:rFonts w:ascii="Times New Roman" w:hAnsi="Times New Roman"/>
          <w:b/>
          <w:sz w:val="20"/>
        </w:rPr>
      </w:pPr>
      <w:r>
        <w:rPr>
          <w:rFonts w:ascii="Times New Roman" w:hAnsi="Times New Roman"/>
          <w:b/>
          <w:sz w:val="20"/>
        </w:rPr>
        <w:t xml:space="preserve">You are urged to consult your tax advisors regarding the tax consequences to you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the purchase, ownership and disposition of our capital stock or the operating partnership’s debt securities, including the U.S. federal, state, local, non-U.S. and other tax consequences;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our election to be taxed as a REIT for U.S. federal income tax purposes; 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potential changes in applicable tax laws.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Taxation of Our Company </w:t>
      </w:r>
    </w:p>
    <w:p>
      <w:pPr>
        <w:pStyle w:val="TextBody"/>
        <w:bidi w:val="0"/>
        <w:spacing w:before="120" w:after="0"/>
        <w:jc w:val="left"/>
        <w:rPr>
          <w:rFonts w:ascii="Times New Roman" w:hAnsi="Times New Roman"/>
          <w:sz w:val="20"/>
        </w:rPr>
      </w:pPr>
      <w:r>
        <w:rPr>
          <w:rFonts w:ascii="Times New Roman" w:hAnsi="Times New Roman"/>
          <w:b/>
          <w:i/>
          <w:sz w:val="20"/>
        </w:rPr>
        <w:t>General</w:t>
      </w:r>
      <w:r>
        <w:rPr>
          <w:rFonts w:ascii="Times New Roman" w:hAnsi="Times New Roman"/>
          <w:sz w:val="20"/>
        </w:rPr>
        <w:t xml:space="preserve">. We have elected to be taxed as a REIT under Sections 856 through 860 of the Code commencing with our taxable year ended December 31, 2004. We believe that we have been organized and have operated in a manner that has allowed us to qualify for taxation as a REIT under the Code commencing with such taxable year, and we intend to continue to be organized and operate in this manner. However, qualification and taxation as a REIT depend upon our ability to meet the various qualification tests imposed under the Code, including through actual operating results, asset composition, distribution levels and diversity of stock ownership. Accordingly, no assurance can be given that we have been organized and have operated, or will continue to be organized and operate, in a manner so as to qualify or remain qualified as a REIT. See “—Failure to Qualify” for potential tax consequences if we fail to qualify as a REIT.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has acted as our tax counsel in connection with this prospectus and our election to be taxed as a REIT. Latham &amp; Watkins LLP has rendered an opinion to us, as of the date of this prospectus, to the effect that, commencing with our taxable year ended December 31, 2019, we have been organized and have operated in conformity with the requirements for qualification and taxation as a REIT under the Code, and our proposed method of operation will enable us to continue to meet the requirements for qualification and taxation as a REIT under the Code. It must be emphasized that this opinion was based on various assumptions and representations as to factual matters, including representations made by us in a factual certificate provided by one or more of our officers. In addition, this opinion was based upon our factual representations set forth in this prospectus. Moreover, our qualification and taxation as a REIT depend upon our ability to meet the various qualification tests imposed under the Code, which are discussed below, including through actual operating results, asset composition, distribution levels and diversity of stock ownership, the results of which have not been and will not be reviewed by Latham &amp; Watkins LLP. Accordingly, no assurance can be given that our actual results of operations for any particular taxable year have satisfied or will satisfy those requirements. Further, the anticipated U.S. federal income tax treatment described herein may be changed, perhaps retroactively, by legislative, administrative or judicial action at any time. Latham &amp; Watkins LLP has no obligation to update its opinion subsequent to the date of such opinion. </w:t>
      </w:r>
    </w:p>
    <w:p>
      <w:pPr>
        <w:pStyle w:val="TextBody"/>
        <w:bidi w:val="0"/>
        <w:spacing w:before="240" w:after="0"/>
        <w:jc w:val="left"/>
        <w:rPr>
          <w:rFonts w:ascii="Times New Roman" w:hAnsi="Times New Roman"/>
          <w:sz w:val="20"/>
        </w:rPr>
      </w:pPr>
      <w:r>
        <w:rPr>
          <w:rFonts w:ascii="Times New Roman" w:hAnsi="Times New Roman"/>
          <w:sz w:val="20"/>
        </w:rPr>
        <w:t xml:space="preserve">Provided we qualify for taxation as a REIT, we generally will not be required to pay U.S. federal corporate income taxes on our REIT taxable income that is currently distributed to our stockholders. This treatment substantially eliminates the “double taxation” that ordinarily results from investment in a C corporation. A C corporation is a corporation that generally is required to pay tax at the corporate level. Double taxation means taxation once at the corporate level when income is earned and once again at the stockholder level when the income is distributed. We will, however, be required to pay U.S. federal income tax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we will be required to pay regular U.S. federal corporate income tax on any undistributed REIT taxable income, including undistributed capital gain.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Second, if we have (1) net income from the sale or other disposition of “foreclosure property” held primarily for sale to customers in the ordinary course of business or (2) other nonqualifying income from foreclosure property, we will be required to pay regular U.S. federal corporate income tax on this income. To the extent that income from foreclosure property is otherwise qualifying income for purposes of the 75% gross income test, this tax is not applicable. Subject to certain other requirements, foreclosure property generally is defined as property we acquired through foreclosure or after a default on a loan secured by the property or a lease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we will be required to pay a 100% tax on any net income from prohibited transactions. Prohibited transactions are, in general, sales or other taxable dispositions of property, other than foreclosure property, held as inventory or primarily for sale to customers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Fourth, if we fail to satisfy the 75% gross income test or the 95% gross income test, as described below, but have otherwise maintained our qualification as a REIT because certain other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requirements are met, we will be required to pay a tax equal to (1) the greater of (A) the amount by which we fail to satisfy the 75% gross income test and (B) the amount by which we fail to satisfy the 95% gross income test, multiplied by (2) a fraction intended to reflect our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Fifth, if we fail to satisfy any of the asset tests (other than a de minimis failure of the 5% or 10% asset test), as described below, due to reasonable cause and not due to willful neglect, and we nonetheless maintain our REIT qualification because of specified cure provisions, we will be required to pay a tax equal to the greater of $50,000 or the U.S. federal corporate income tax rate multiplied by the net income generated by the nonqualifying assets that caused us to fail such test.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if we fail to satisfy any provision of the Code that would result in our failure to qualify as a REIT (other than a violation of the gross income tests or certain violations of the asset tests, as described below) and the violation is due to reasonable cause and not due to willful neglect, we may retain our REIT qualification but we will be required to pay a penalty of $50,000 for each such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Seventh, we will be required to pay a 4% excise tax to the extent we fail to distribute during each calendar year at least the sum of (1) 85% of our ordinary income for the year, (2) 95% of our capital gain net income for the year, and (3) any undistributed taxable income from prior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Eighth, if we acquire any asset from a corporation that is or has been a C corporation in a transaction in which our tax basis in the asset is less than the fair market value of the asset, in each case determined as of the date on which we acquired the asset, and we subsequently recognize gain on the disposition of the asset during the five-year period beginning on the date on which we acquired the asset, then we generally will be required to pay regular U.S. federal corporate income tax on this gain to the extent of the excess of (1) the fair market value of the asset over (2) our adjusted tax basis in the asset, in each case determined as of the date on which we acquired the asset. The results described in this paragraph with respect to the recognition of gain assume that the C corporation will refrain from making an election to receive different treatment under applicable Treasury Regulations on its tax return for the year in which we acquire the asset from the C corporation. Under applicable Treasury Regulations, any gain from the sale of property we acquired in an exchange under Section 1031 (a like-kind exchange) or Section 1033 (an involuntary conversion) of the Code generally is excluded from the application of this built-in gains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Ninth, our subsidiaries that are C corporations and are not qualified REIT subsidiaries (described below), including our “taxable REIT subsidiaries” described below, generally will be required to pay regular U.S. federal corporate income tax on their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Tenth, we will be required to pay a 100% tax on any “redetermined rents,” “redetermined deductions,” “excess interest,” or “redetermined TRS service income,” as described below under “—Penalty Tax.” In general, redetermined rents are rents from real property that are overstated as a result of services furnished to any of our tenants by a taxable REIT subsidiary of ours. Redetermined deductions and excess interest generally represent amounts that are deducted by a taxable REIT subsidiary of ours for amounts paid to us that are in excess of the amounts that would have been deducted based on arm’s length negotiations. Redetermined TRS service income generally represents income of a taxable REIT subsidiary that is understated as a result of services provided to us or on our behalf.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Eleventh, we may elect to retain and pay income tax on our net capital gain. In that case, a stockholder would include its proportionate share of our undistributed capital gain (to the extent we make a timely designation of such gain to the stockholder) in its income, would be deemed to have paid the tax that we paid on such gain, and would be allowed a credit for its proportionate share of the tax deemed to have been paid, and an adjustment would be made to increase the tax basis of the stockholder in our capital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Twelfth, if we fail to comply with the requirement to send annual letters to our stockholders holding at least a certain percentage of our stock, as determined under applicable Treasury Regulations, requesting information regarding the actual ownership of our stock, and the failure is not due to reasonable cause or is due to willful neglect, we will be subject to a $25,000 penalty, or if the failure is intentional, a $50,000 penalty.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 our subsidiaries may be subject to a variety of taxes other than U.S. federal income tax, including payroll taxes and state and local income, property and other taxes on our assets and operations. </w:t>
      </w:r>
    </w:p>
    <w:p>
      <w:pPr>
        <w:pStyle w:val="TextBody"/>
        <w:bidi w:val="0"/>
        <w:spacing w:before="240" w:after="0"/>
        <w:jc w:val="left"/>
        <w:rPr>
          <w:rFonts w:ascii="Times New Roman" w:hAnsi="Times New Roman"/>
          <w:sz w:val="20"/>
        </w:rPr>
      </w:pPr>
      <w:r>
        <w:rPr>
          <w:rFonts w:ascii="Times New Roman" w:hAnsi="Times New Roman"/>
          <w:sz w:val="20"/>
        </w:rPr>
        <w:t xml:space="preserve">We own properties in other countries, which impose taxes on our operations within their jurisdictions. To the extent possible, we will structure our activities to minimize our non-U.S. tax liability. However, there can be no assurance that we will be able to eliminate our non-U.S. tax liability or reduce it to a specified level. Furthermore, as a REIT, both we and our stockholders will derive little or no benefit from foreign tax credits arising from those non-U.S. taxes. </w:t>
      </w:r>
    </w:p>
    <w:p>
      <w:pPr>
        <w:pStyle w:val="TextBody"/>
        <w:bidi w:val="0"/>
        <w:spacing w:before="240" w:after="0"/>
        <w:jc w:val="left"/>
        <w:rPr>
          <w:rFonts w:ascii="Times New Roman" w:hAnsi="Times New Roman"/>
          <w:sz w:val="20"/>
        </w:rPr>
      </w:pPr>
      <w:r>
        <w:rPr>
          <w:rFonts w:ascii="Times New Roman" w:hAnsi="Times New Roman"/>
          <w:b/>
          <w:i/>
          <w:sz w:val="20"/>
        </w:rPr>
        <w:t>Requirements for Qualification as a REIT</w:t>
      </w:r>
      <w:r>
        <w:rPr>
          <w:rFonts w:ascii="Times New Roman" w:hAnsi="Times New Roman"/>
          <w:sz w:val="20"/>
        </w:rPr>
        <w:t xml:space="preserve">. The Code defines a REIT as a corporation, trust or association: </w:t>
      </w:r>
    </w:p>
    <w:p>
      <w:pPr>
        <w:pStyle w:val="TextBody"/>
        <w:bidi w:val="0"/>
        <w:spacing w:before="120" w:after="0"/>
        <w:jc w:val="left"/>
        <w:rPr>
          <w:rFonts w:ascii="Times New Roman" w:hAnsi="Times New Roman"/>
          <w:sz w:val="20"/>
        </w:rPr>
      </w:pPr>
      <w:r>
        <w:rPr>
          <w:rFonts w:ascii="Times New Roman" w:hAnsi="Times New Roman"/>
          <w:sz w:val="20"/>
        </w:rPr>
        <w:t xml:space="preserve">(1) that is managed by one or more trustees or directors; </w:t>
      </w:r>
    </w:p>
    <w:p>
      <w:pPr>
        <w:pStyle w:val="TextBody"/>
        <w:bidi w:val="0"/>
        <w:spacing w:before="240" w:after="0"/>
        <w:jc w:val="left"/>
        <w:rPr>
          <w:rFonts w:ascii="Times New Roman" w:hAnsi="Times New Roman"/>
          <w:sz w:val="20"/>
        </w:rPr>
      </w:pPr>
      <w:r>
        <w:rPr>
          <w:rFonts w:ascii="Times New Roman" w:hAnsi="Times New Roman"/>
          <w:sz w:val="20"/>
        </w:rPr>
        <w:t xml:space="preserve">(2) that issues transferable shares or transferable certificates to evidence its beneficial ownership; </w:t>
      </w:r>
    </w:p>
    <w:p>
      <w:pPr>
        <w:pStyle w:val="TextBody"/>
        <w:bidi w:val="0"/>
        <w:spacing w:before="240" w:after="0"/>
        <w:jc w:val="left"/>
        <w:rPr>
          <w:rFonts w:ascii="Times New Roman" w:hAnsi="Times New Roman"/>
          <w:sz w:val="20"/>
        </w:rPr>
      </w:pPr>
      <w:r>
        <w:rPr>
          <w:rFonts w:ascii="Times New Roman" w:hAnsi="Times New Roman"/>
          <w:sz w:val="20"/>
        </w:rPr>
        <w:t xml:space="preserve">(3) that would be taxable as a domestic corporation, but for Sections 856 through 860 of the Code; </w:t>
      </w:r>
    </w:p>
    <w:p>
      <w:pPr>
        <w:pStyle w:val="TextBody"/>
        <w:bidi w:val="0"/>
        <w:spacing w:before="240" w:after="0"/>
        <w:jc w:val="left"/>
        <w:rPr>
          <w:rFonts w:ascii="Times New Roman" w:hAnsi="Times New Roman"/>
          <w:sz w:val="20"/>
        </w:rPr>
      </w:pPr>
      <w:r>
        <w:rPr>
          <w:rFonts w:ascii="Times New Roman" w:hAnsi="Times New Roman"/>
          <w:sz w:val="20"/>
        </w:rPr>
        <w:t xml:space="preserve">(4) that is not a financial institution or an insurance company within the meaning of certain provisions of the Code; </w:t>
      </w:r>
    </w:p>
    <w:p>
      <w:pPr>
        <w:pStyle w:val="TextBody"/>
        <w:bidi w:val="0"/>
        <w:spacing w:before="240" w:after="0"/>
        <w:jc w:val="left"/>
        <w:rPr>
          <w:rFonts w:ascii="Times New Roman" w:hAnsi="Times New Roman"/>
          <w:sz w:val="20"/>
        </w:rPr>
      </w:pPr>
      <w:r>
        <w:rPr>
          <w:rFonts w:ascii="Times New Roman" w:hAnsi="Times New Roman"/>
          <w:sz w:val="20"/>
        </w:rPr>
        <w:t xml:space="preserve">(5) that is beneficially owned by 100 or more persons; </w:t>
      </w:r>
    </w:p>
    <w:p>
      <w:pPr>
        <w:pStyle w:val="TextBody"/>
        <w:bidi w:val="0"/>
        <w:spacing w:before="240" w:after="0"/>
        <w:jc w:val="left"/>
        <w:rPr>
          <w:rFonts w:ascii="Times New Roman" w:hAnsi="Times New Roman"/>
          <w:sz w:val="20"/>
        </w:rPr>
      </w:pPr>
      <w:r>
        <w:rPr>
          <w:rFonts w:ascii="Times New Roman" w:hAnsi="Times New Roman"/>
          <w:sz w:val="20"/>
        </w:rPr>
        <w:t xml:space="preserve">(6) not more than 50% in value of the outstanding stock of which is owned, actually or constructively, by five or fewer individuals, including certain specified entities, during the last half of each taxable year; and </w:t>
      </w:r>
    </w:p>
    <w:p>
      <w:pPr>
        <w:pStyle w:val="TextBody"/>
        <w:bidi w:val="0"/>
        <w:spacing w:before="240" w:after="0"/>
        <w:jc w:val="left"/>
        <w:rPr>
          <w:rFonts w:ascii="Times New Roman" w:hAnsi="Times New Roman"/>
          <w:sz w:val="20"/>
        </w:rPr>
      </w:pPr>
      <w:r>
        <w:rPr>
          <w:rFonts w:ascii="Times New Roman" w:hAnsi="Times New Roman"/>
          <w:sz w:val="20"/>
        </w:rPr>
        <w:t xml:space="preserve">(7) that meets other tests, described below, regarding the nature of its income and assets and the amount of its distributions. </w:t>
      </w:r>
    </w:p>
    <w:p>
      <w:pPr>
        <w:pStyle w:val="TextBody"/>
        <w:bidi w:val="0"/>
        <w:spacing w:before="240" w:after="0"/>
        <w:jc w:val="left"/>
        <w:rPr>
          <w:rFonts w:ascii="Times New Roman" w:hAnsi="Times New Roman"/>
          <w:sz w:val="20"/>
        </w:rPr>
      </w:pPr>
      <w:r>
        <w:rPr>
          <w:rFonts w:ascii="Times New Roman" w:hAnsi="Times New Roman"/>
          <w:sz w:val="20"/>
        </w:rPr>
        <w:t xml:space="preserve">The Code provides that conditions (1) to (4), inclusive, must be met during the entire taxable year and that condition (5) must be met during at least 335 days of a taxable year of 12 months, or during a proportionate part of a taxable year of less than 12 months. Conditions (5) and (6) do not apply until after the first taxable year for which an election is made to be taxed as a REIT. For purposes of condition (6), the term “individual” includes a supplemental unemployment compensation benefit plan, a private foundation or a portion of a trust permanently set aside or used exclusively for charitable purposes, but generally does not include a qualified pension plan or profit sharing trust.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we have been organized and have operated in a manner that has allowed us, and will continue to allow us, to satisfy conditions (1) through (7), inclusive, during the relevant time periods. In addition, our charter provides for restrictions regarding ownership and transfer of our shares that are intended to assist us in continuing to satisfy the share ownership requirements described in conditions (5) and (6) above. A description of the share ownership and transfer restrictions relating to our capital stock is contained in the discussion in this prospectus under the heading “Restrictions on Ownership and Transfer.” These restrictions, however, do not ensure that we have previously satisfied, and may not ensure that we will, in all cases, be able to continue to satisfy, the share ownership requirements described in conditions (5) and (6) above. If we fail to satisfy these share ownership requirements, then, except as provided in the next sentence, our status as a REIT will terminate. If, however, we comply with the rules contained in applicable Treasury Regulations that require us to ascertain the actual ownership of our shares and we do not know, or would not have known through the exercise of reasonable diligence, that we failed to meet the requirement described in condition (6) above, we will be treated as having met this requirement. See “—Failure to Qualify.”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we may not maintain our status as a REIT unless our taxable year is the calendar year. We have and will continue to have a calendar taxable year. </w:t>
      </w:r>
    </w:p>
    <w:p>
      <w:pPr>
        <w:pStyle w:val="TextBody"/>
        <w:bidi w:val="0"/>
        <w:spacing w:before="240" w:after="0"/>
        <w:jc w:val="left"/>
        <w:rPr>
          <w:rFonts w:ascii="Times New Roman" w:hAnsi="Times New Roman"/>
          <w:sz w:val="20"/>
        </w:rPr>
      </w:pPr>
      <w:r>
        <w:rPr>
          <w:rFonts w:ascii="Times New Roman" w:hAnsi="Times New Roman"/>
          <w:b/>
          <w:i/>
          <w:sz w:val="20"/>
        </w:rPr>
        <w:t>Ownership of Interests in Partnerships, Limited Liability Companies and Qualified REIT Subsidiaries</w:t>
      </w:r>
      <w:r>
        <w:rPr>
          <w:rFonts w:ascii="Times New Roman" w:hAnsi="Times New Roman"/>
          <w:sz w:val="20"/>
        </w:rPr>
        <w:t xml:space="preserve">. In the case of a REIT that is a partner in a partnership (for purposes of this discussion, references to “partnership” include a limited liability company treated as a partnership for U.S. federal income tax purposes, and references to “partner” include a member in such limited liability company), Treasury Regulations provide that the REIT will be deemed to own its proportionate share of the assets of the partnership based on its interest in partnership capital, subject to special rules relating to the 10% asset test described below. Also, the REIT will be deemed to be entitled to its proportionate share of the income of that entity. The assets and gross income of the partnership retain the same character in the hands of the REIT for purposes of Section 856 of the Code, including satisfying the gross income tests and the asset tests. Thus, our pro rata share of the assets and items of income of our operating partnership, including our operating partnership’s share of these items of any partnership or disregarded entity for U.S. federal income tax purposes in which it owns an interest, is treated as our assets and items of income for purposes of applying the requirements described in this discussion, including the gross income and asset tests described below. A brief summary of the rules governing the U.S. federal income taxation of partnerships is set forth below in “—Tax Aspects of Our Operating Partnership and its Subsidiary Partnerships and Limited Liability Companies.” </w:t>
      </w:r>
    </w:p>
    <w:p>
      <w:pPr>
        <w:pStyle w:val="TextBody"/>
        <w:bidi w:val="0"/>
        <w:spacing w:before="240" w:after="0"/>
        <w:jc w:val="left"/>
        <w:rPr>
          <w:rFonts w:ascii="Times New Roman" w:hAnsi="Times New Roman"/>
          <w:sz w:val="20"/>
        </w:rPr>
      </w:pPr>
      <w:r>
        <w:rPr>
          <w:rFonts w:ascii="Times New Roman" w:hAnsi="Times New Roman"/>
          <w:sz w:val="20"/>
        </w:rPr>
        <w:t xml:space="preserve">We have control of our operating partnership and most of its subsidiary partnerships and intend to operate them in a manner consistent with the requirements for our qualification as a REIT. If we become a limited partner or non-managing member in any partnership and such entity takes or expects to take actions that could jeopardize our status as a REIT or require us to pay tax, we may be forced to dispose of our interest in such entity. In addition, it is possible that a partnership could take an action which could cause us to fail a gross income or asset test, and that we would not become aware of such action in time to dispose of our interest in the partnership or take other corrective action on a timely basis. In such a case, we could fail to qualify as a REIT unless we were entitled to relief,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own and operate certain properties through wholly-owned subsidiaries that we intend to be treated as “qualified REIT subsidiaries” under the Code. A corporation (or other entity treated as a corporation for U.S. federal income tax purposes) will qualify as our qualified REIT subsidiary if we own 100% of the corporation’s outstanding stock and do not elect with the subsidiary to treat it as a “taxable REIT subsidiary,” as described below. A qualified REIT subsidiary is not treated as a separate corporation, and all assets, liabilities and items of income, gain, loss, deduction and credit of a qualified REIT subsidiary are treated as assets, liabilities and items of income, gain, loss, deduction and credit of the parent REIT for all purposes under the Code, including all REIT qualification tests. Thus, in applying the U.S. federal income tax requirements described in this discussion, any qualified REIT subsidiaries we own are ignored, and all assets, liabilities and items of income, gain, loss, deduction and credit of such corporations are treated as our assets, liabilities and items of income, gain, loss, deduction and credit. A qualified REIT subsidiary is not subject to U.S. federal income tax, and our ownership of the stock of a qualified REIT subsidiary will not violate the restrictions on ownership of securities, as described below under “—Asset Tests.” </w:t>
      </w:r>
    </w:p>
    <w:p>
      <w:pPr>
        <w:pStyle w:val="TextBody"/>
        <w:bidi w:val="0"/>
        <w:spacing w:before="240" w:after="0"/>
        <w:jc w:val="left"/>
        <w:rPr>
          <w:rFonts w:ascii="Times New Roman" w:hAnsi="Times New Roman"/>
          <w:sz w:val="20"/>
        </w:rPr>
      </w:pPr>
      <w:r>
        <w:rPr>
          <w:rFonts w:ascii="Times New Roman" w:hAnsi="Times New Roman"/>
          <w:b/>
          <w:i/>
          <w:sz w:val="20"/>
        </w:rPr>
        <w:t>Ownership of Interests in Taxable REIT Subsidiaries</w:t>
      </w:r>
      <w:r>
        <w:rPr>
          <w:rFonts w:ascii="Times New Roman" w:hAnsi="Times New Roman"/>
          <w:sz w:val="20"/>
        </w:rPr>
        <w:t xml:space="preserve">. We, through our operating partnership, own interests in companies that have elected, together with us, to be treated as our taxable REIT subsidiaries, and we may acquire securities in additional taxable REIT subsidiaries in the future. A taxable REIT subsidiary is a corporation (or other entity treated as a corporation for U.S. federal income tax purposes) other than a REIT in which a REIT directly or indirectly holds stock, and that has made a joint election with such REIT to be treated as a taxable REIT subsidiary. If a taxable REIT subsidiary owns more than 35% of the total voting power or value of the outstanding securities of another corporation, such other corporation will also be treated as a taxable REIT subsidiary. Other than some activities relating to lodging and health care facilities, a taxable REIT subsidiary may generally engage in any business, including the provision of customary or non-customary services to tenants of its parent REIT. A taxable REIT subsidiary is subject to U.S. federal income tax as a regular C corporation.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REIT is not treated as holding the assets of a taxable REIT subsidiary or as receiving any income that the taxable REIT subsidiary earns. Rather, the stock issued by the taxable REIT subsidiary is an asset in the hands of the REIT, and the REIT generally recognizes as income the dividends, if any, that it receives from the taxable REIT subsidiary. A REIT’s ownership of securities of a taxable REIT subsidiary is not subject to the 5% or 10% asset test described below. See “—Asset Tests.” Taxpayers are subject to a limitation on their ability to deduct net business interest generally equal to 30% of adjusted taxable income, subject to certain exceptions. See “—Annual Distribution Requirements.” While not certain, this provision may limit the ability of our taxable REIT subsidiaries to deduct interest, which could increase their taxable income. </w:t>
      </w:r>
    </w:p>
    <w:p>
      <w:pPr>
        <w:pStyle w:val="TextBody"/>
        <w:bidi w:val="0"/>
        <w:spacing w:before="240" w:after="0"/>
        <w:jc w:val="left"/>
        <w:rPr>
          <w:rFonts w:ascii="Times New Roman" w:hAnsi="Times New Roman"/>
          <w:sz w:val="20"/>
        </w:rPr>
      </w:pPr>
      <w:r>
        <w:rPr>
          <w:rFonts w:ascii="Times New Roman" w:hAnsi="Times New Roman"/>
          <w:b/>
          <w:i/>
          <w:sz w:val="20"/>
        </w:rPr>
        <w:t>Ownership of Interests in Subsidiary REITs</w:t>
      </w:r>
      <w:r>
        <w:rPr>
          <w:rFonts w:ascii="Times New Roman" w:hAnsi="Times New Roman"/>
          <w:sz w:val="20"/>
        </w:rPr>
        <w:t xml:space="preserve">. We own and may acquire direct or indirect interests in one or more entities that have elected or will elect to be taxed as REITs under the Code (each, a “Subsidiary REIT”). A Subsidiary REIT is subject to the various REIT qualification requirements and other limitations described herein that are applicable to us. If a Subsidiary REIT were to fail to qualify as a REIT, then (i) that Subsidiary REIT would become subject to U.S. federal income tax and (ii) the Subsidiary REIT’s failure to qualify could have an adverse effect on our ability to comply with the REIT income and asset tests, and thus could impair our ability to qualify as a REIT unless we could avail ourselves of certain relief provisions. </w:t>
      </w:r>
    </w:p>
    <w:p>
      <w:pPr>
        <w:pStyle w:val="TextBody"/>
        <w:bidi w:val="0"/>
        <w:spacing w:before="240" w:after="0"/>
        <w:jc w:val="left"/>
        <w:rPr>
          <w:rFonts w:ascii="Times New Roman" w:hAnsi="Times New Roman"/>
          <w:sz w:val="20"/>
        </w:rPr>
      </w:pPr>
      <w:r>
        <w:rPr>
          <w:rFonts w:ascii="Times New Roman" w:hAnsi="Times New Roman"/>
          <w:b/>
          <w:i/>
          <w:sz w:val="20"/>
        </w:rPr>
        <w:t>Income Tests</w:t>
      </w:r>
      <w:r>
        <w:rPr>
          <w:rFonts w:ascii="Times New Roman" w:hAnsi="Times New Roman"/>
          <w:sz w:val="20"/>
        </w:rPr>
        <w:t xml:space="preserve">. We must satisfy two gross income requirements annually to maintain our qualification as a REIT. First, in each taxable year we must derive directly or indirectly at least 75% of our gross income (excluding gross income from prohibited transactions, certain hedging transactions and certain foreign currency gains) from investments relating to real property or mortgages on real property, including “rents from real property,” dividends from other REITs and, in certain circumstances, interest, or certain types of temporary investments. Second, in each taxable year we must derive at least 95% of our gross income (excluding gross income from prohibited transactions, certain hedging transactions, and certain foreign currency gains) from the real property investments described above or dividends, interest and gain from the sale or disposition of stock or securities, or from any combination of the foregoing. For these purposes, the term “interest” generally does not include any amount received or accrued, directly or 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w:t>
      </w:r>
    </w:p>
    <w:p>
      <w:pPr>
        <w:pStyle w:val="TextBody"/>
        <w:bidi w:val="0"/>
        <w:spacing w:before="0" w:after="0"/>
        <w:jc w:val="left"/>
        <w:rPr>
          <w:rFonts w:ascii="Times New Roman" w:hAnsi="Times New Roman"/>
          <w:sz w:val="20"/>
        </w:rPr>
      </w:pPr>
      <w:r>
        <w:rPr>
          <w:rFonts w:ascii="Times New Roman" w:hAnsi="Times New Roman"/>
          <w:sz w:val="20"/>
        </w:rPr>
        <w:t xml:space="preserve">Rents we receive from a tenant will qualify as “rents from real property” for the purpose of satisfying the gross income requirements for a REIT described above only if all of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rent is not based in whole or in part on the income or profits of any person. However, an amount we receive or accrue generally will not be excluded from the term “rents from real property” solely because it is based on a fixed percentage or percentages of receipts or sales or if it is based on the net income of a tenant which derives substantially all of its income with respect to such property from subleasing of substantially all of such property, to the extent that the rents paid by the subtenants would qualify as rents from real property if we earned such amounts directly;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we nor an actual or constructive owner of 10% or more of our capital stock actually or constructively owns 10% or more of the interests in the assets or net profits of a non-corporate tenant, or, if the tenant is a corporation, 10% or more of the total combined voting power of all classes of stock entitled to vote or 10% or more of the total value of all classes of stock of the tenant. Rents we receive from such a tenant that is a taxable REIT subsidiary of ours, however, will not be excluded from the definition of “rents from real property” as a result of this condition if at least 90% of the space at the property to which the rents relate is leased to third parties, and the rents paid by the taxable REIT subsidiary are substantially comparable to rents paid by our other tenants for comparable space. Whether rents paid by a taxable REIT subsidiary are substantially comparable to rents paid by other tenants is determined at the time the lease with the taxable REIT subsidiary is entered into, extended, and modified, if such modification increases the rents due under such lease. Notwithstanding the foregoing, however, if a lease with a “controlled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taxable REIT subsidiary” is modified and such modification results in an increase in the rents payable by such taxable REIT subsidiary, any such increase will not qualify as “rents from real property.” For purposes of this rule, a “controlled taxable REIT subsidiary” is a taxable REIT subsidiary in which the parent REIT owns stock possessing more than 50% of the voting power or more than 50% of the total value of the outstanding stock of such taxable REIT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Rent attributable to personal property, leased in connection with a lease of real property, is not greater than 15% of the total rent received under the lease. If this condition is not met, then the portion of the rent attributable to personal property will not qualify as “rents from real property.” To the extent that rent attributable to personal property, leased in connection with a lease of real property, exceeds 15% of the total rent received under the lease, we may transfer a portion of such personal property to a taxable REIT subsidiary;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generally may not operate or manage the property or furnish or render services to our tenants, subject to a 1% de minimis exception and except as provided below. We may, however, perform services that are “usually or customarily rendered” in connection with the rental of space for occupancy only and are not otherwise considered “rendered to the occupant” of the property. Examples of these services include the provision of light, heat, or other utilities, trash removal, general maintenance of common areas, interconnection services and certain basic server services that do not require logical access to our tenants’ equipment. In addition, we may employ an independent contractor from whom we derive no revenue to provide customary services to our tenants, or a taxable REIT subsidiary (which may be wholly or partially owned by us) to provide both customary and non-customary services to our tenants, without causing the rent we receive from those tenants to fail to qualify as “rents from real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generally do not intend, and as the general partner of our operating partnership, we do not intend to permit our operating partnership, to take actions we believe will cause us to fail to satisfy the rental conditions described above. However, we may intentionally fail to satisfy some of these conditions to the extent we determine, based on the advice of our tax counsel, that the failure will not jeopardize our tax status as a REIT. In addition, with respect to the limitation on the rental of personal property, we generally have not obtained appraisals of the real property and personal property leased to tenants. Accordingly, there can be no assurance that the IRS will not disagree with our determinations of value. </w:t>
      </w:r>
    </w:p>
    <w:p>
      <w:pPr>
        <w:pStyle w:val="TextBody"/>
        <w:bidi w:val="0"/>
        <w:spacing w:before="240" w:after="0"/>
        <w:jc w:val="left"/>
        <w:rPr>
          <w:rFonts w:ascii="Times New Roman" w:hAnsi="Times New Roman"/>
          <w:sz w:val="20"/>
        </w:rPr>
      </w:pPr>
      <w:r>
        <w:rPr>
          <w:rFonts w:ascii="Times New Roman" w:hAnsi="Times New Roman"/>
          <w:sz w:val="20"/>
        </w:rPr>
        <w:t xml:space="preserve">Income we receive that is attributable to the rental of parking spaces at the properties generally will constitute rents from real property for purposes of the gross income tests if certain services provided with respect to the parking spaces are performed by independent contractors from whom we derive no revenue, either directly or indirectly, or by a taxable REIT subsidiary, and certain other conditions are met. We believe that the income we receive that is attributable to parking spaces will meet these tests and, accordingly, will constitute rents from real property for purposes of the gross income tests.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enter into hedging transactions with respect to one or more of our assets or liabilities. Our hedging activities may include entering into interest rate swaps, caps, and floors, options to purchase these items, and futures and forward contracts. Income from a hedging transaction, including gain from the sale or disposition of such a transaction, that is clearly identified as a hedging transaction as specified in the Code will not constitute gross income under, and thus will be exempt from, the 75% and 95% gross income tests. The term “hedging transaction,” as used above, generally means (A) any transaction we enter into in the normal course of our business primarily to manage risk of (1) interest rate changes or fluctuations with respect to borrowings made or to be made by us to acquire or carry real estate assets, or (2) currency fluctuations with respect to an item of qualifying income under the 75% or 95% gross income test or any property which generates such income and (B) new transactions entered into to hedge the income or loss from prior hedging transactions, where any portion of the property or indebtedness which was the subject of the prior hedging transaction was extinguished or disposed of. To the extent that we do not properly identify such transactions as hedges or we hedge with other types of financial instruments, the income from those transactions is not likely to be treated as qualifying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purposes of the gross income tests. We intend to structure any hedging transactions in a manner that does not jeopardize our status as a REIT. </w:t>
      </w:r>
    </w:p>
    <w:p>
      <w:pPr>
        <w:pStyle w:val="TextBody"/>
        <w:bidi w:val="0"/>
        <w:spacing w:before="240" w:after="0"/>
        <w:jc w:val="left"/>
        <w:rPr>
          <w:rFonts w:ascii="Times New Roman" w:hAnsi="Times New Roman"/>
          <w:sz w:val="20"/>
        </w:rPr>
      </w:pPr>
      <w:r>
        <w:rPr>
          <w:rFonts w:ascii="Times New Roman" w:hAnsi="Times New Roman"/>
          <w:sz w:val="20"/>
        </w:rPr>
        <w:t xml:space="preserve">We have investments in entities located outside the United States and from time to time may invest in additional entities or properties located outside the United States, through a taxable REIT subsidiary or otherwise. These acquisitions could cause us to incur foreign currency gains or losses. Any foreign currency gains, to the extent attributable to specified items of qualifying income or gain, or specified qualifying assets, however, generally will not constitute gross income for purposes of the 75% and 95% gross income tests, and therefore will be excluded from these tests.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our taxable REIT subsidiaries pay dividends or interest, our allocable share of such dividend or interest income will qualify under the 95%, but (subject to certain exceptions) not the 75%, gross income test. Notwithstanding the foregoing, our allocable share of such interest would also qualify under the 75% gross income test to the extent the interest is paid on a loan that is adequately secured by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We will monitor the amount of the dividend and other income from our taxable REIT subsidiaries and will take actions intended to keep this income, and any other nonqualifying income, within the limitations of the gross income tests. Although we expect these actions will be sufficient to prevent a violation of the gross income tests, we cannot guarantee that such actions will in all cases prevent such a violation. </w:t>
      </w:r>
    </w:p>
    <w:p>
      <w:pPr>
        <w:pStyle w:val="TextBody"/>
        <w:bidi w:val="0"/>
        <w:spacing w:before="240" w:after="0"/>
        <w:jc w:val="left"/>
        <w:rPr>
          <w:rFonts w:ascii="Times New Roman" w:hAnsi="Times New Roman"/>
          <w:sz w:val="20"/>
        </w:rPr>
      </w:pPr>
      <w:r>
        <w:rPr>
          <w:rFonts w:ascii="Times New Roman" w:hAnsi="Times New Roman"/>
          <w:sz w:val="20"/>
        </w:rPr>
        <w:t xml:space="preserve">If we fail to satisfy one or both of the 75% or 95% gross income tests for any taxable year, we may nevertheless qualify as a REIT for the year if we are entitled to relief under certain provisions of the Code. We generally may make use of the relief provisions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our identification of the failure to meet the 75% or 95% gross income tests for any taxable year, we file a schedule with the IRS setting forth each item of our gross income for purposes of the 75% or 95% gross income tests for such taxable year in accordance with Treasury Regulations to be issued;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meet these tests was due to reasonable cause and not due to willful neglect.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is not possible, however, to state whether in all circumstances we would be entitled to the benefit of these relief provisions. For example, if we fail to satisfy the gross income tests because nonqualifying income that we intentionally accrue or receive exceeds the limits on nonqualifying income, the IRS could conclude that our failure to satisfy the tests was not due to reasonable cause. If these relief provisions do not apply to a particular set of circumstances, we will not qualify as a REIT. See “—Failure to Qualify” below. As discussed above in “—General,” even if these relief provisions apply, and we retain our status as a REIT, a tax would be imposed with respect to our nonqualifying income. We may not always be able to comply with the gross income tests for REIT qualification despite periodic monitoring of our income. </w:t>
      </w:r>
    </w:p>
    <w:p>
      <w:pPr>
        <w:pStyle w:val="TextBody"/>
        <w:bidi w:val="0"/>
        <w:spacing w:before="240" w:after="0"/>
        <w:jc w:val="left"/>
        <w:rPr>
          <w:rFonts w:ascii="Times New Roman" w:hAnsi="Times New Roman"/>
          <w:sz w:val="20"/>
        </w:rPr>
      </w:pPr>
      <w:r>
        <w:rPr>
          <w:rFonts w:ascii="Times New Roman" w:hAnsi="Times New Roman"/>
          <w:b/>
          <w:i/>
          <w:sz w:val="20"/>
        </w:rPr>
        <w:t>Prohibited Transaction Income</w:t>
      </w:r>
      <w:r>
        <w:rPr>
          <w:rFonts w:ascii="Times New Roman" w:hAnsi="Times New Roman"/>
          <w:sz w:val="20"/>
        </w:rPr>
        <w:t xml:space="preserve">. Any gain that we realize on the sale of property (other than any foreclosure property) held as inventory or otherwise held primarily for sale to customers in the ordinary course of business, including our share of any such gain realized by our operating partnership, either directly or through its subsidiary partnerships, will be treated as income from a prohibited transaction that is subject to a 100% penalty tax, unless certain safe harbor exceptions apply. This prohibited transaction income may also adversely affect our ability to satisfy the gross income tests for qualification as a REIT. Under existing law, whether property is held as inventory or primarily for sale to customers in the ordinary course of a trade or business is a question of fact that depends on all the facts and circumstances surrounding the particular transaction. As the general partner of our operating partnership, we intend to cause our operating partnership to hold its properties for investment with a view to long-term appreciation, to engage in the business of acquiring, developing and owning its properties and to make occasional sales of the properties as are consistent with our investment objectives. We do not intend, and do not intend to permit our operating partnership or its subsidiary partnerships, to enter into any sales that are prohibited transactions. However, the IRS may successfully contend that some or all of the sales made by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operating partnership or its subsidiary partnerships are prohibited transactions. We would be required to pay the 100% penalty tax on our allocable share of the gains resulting from any such sales. The 100% penalty tax will not apply to gains from the sale of assets that are held through a taxable REIT subsidiary, but such income will be subject to regular U.S. federal corporate income tax. </w:t>
      </w:r>
    </w:p>
    <w:p>
      <w:pPr>
        <w:pStyle w:val="TextBody"/>
        <w:bidi w:val="0"/>
        <w:spacing w:before="240" w:after="0"/>
        <w:jc w:val="left"/>
        <w:rPr>
          <w:rFonts w:ascii="Times New Roman" w:hAnsi="Times New Roman"/>
          <w:sz w:val="20"/>
        </w:rPr>
      </w:pPr>
      <w:r>
        <w:rPr>
          <w:rFonts w:ascii="Times New Roman" w:hAnsi="Times New Roman"/>
          <w:b/>
          <w:i/>
          <w:sz w:val="20"/>
        </w:rPr>
        <w:t>Penalty Tax</w:t>
      </w:r>
      <w:r>
        <w:rPr>
          <w:rFonts w:ascii="Times New Roman" w:hAnsi="Times New Roman"/>
          <w:sz w:val="20"/>
        </w:rPr>
        <w:t xml:space="preserve">. Any redetermined rents, redetermined deductions, excess interest or redetermined TRS service income we generate will be subject to a 100% penalty tax. In general, redetermined rents are rents from real property that are overstated as a result of any services furnished to any of our tenants by a taxable REIT subsidiary of ours, redetermined deductions and excess interest represent any amounts that are deducted by a taxable REIT subsidiary of ours for amounts paid to us that are in excess of the amounts that would have been deducted based on arm’s length negotiations, and redetermined TRS service income is income of a taxable REIT subsidiary that is understated as a result of services provided to us or on our behalf. Rents we receive will not constitute redetermined rents if they qualify for certain safe harbor provisions contained in the Code.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certain of our taxable REIT subsidiaries provide services to our tenants. We believe we have set, and we intend to set in the future, any fees paid to our taxable REIT subsidiaries for such services at arm’s length rates, although the fees paid may not satisfy the safe harbor provisions referenced above. These determinations are inherently factual, and the IRS has broad discretion to assert that amounts paid between related parties should be reallocated to clearly reflect their respective incomes. If the IRS successfully made such an assertion, we would be required to pay a 100% penalty tax on any overstated rents paid to us, or any excess deductions or understated income of our taxable REIT subsidiaries. </w:t>
      </w:r>
    </w:p>
    <w:p>
      <w:pPr>
        <w:pStyle w:val="TextBody"/>
        <w:bidi w:val="0"/>
        <w:spacing w:before="240" w:after="0"/>
        <w:jc w:val="left"/>
        <w:rPr>
          <w:rFonts w:ascii="Times New Roman" w:hAnsi="Times New Roman"/>
          <w:sz w:val="20"/>
        </w:rPr>
      </w:pPr>
      <w:r>
        <w:rPr>
          <w:rFonts w:ascii="Times New Roman" w:hAnsi="Times New Roman"/>
          <w:b/>
          <w:i/>
          <w:sz w:val="20"/>
        </w:rPr>
        <w:t>Asset Tests</w:t>
      </w:r>
      <w:r>
        <w:rPr>
          <w:rFonts w:ascii="Times New Roman" w:hAnsi="Times New Roman"/>
          <w:sz w:val="20"/>
        </w:rPr>
        <w:t xml:space="preserve">. At the close of each calendar quarter of our taxable year, we must also satisfy certain tests relating to the nature and diversification of our assets. First, at least 75% of the value of our total assets must be represented by real estate assets, cash, cash items and U.S. government securities. For purposes of this test, the term “real estate assets” generally means real property (including interests in real property and interests in mortgages on real property or on both real property and, to a limited extent, personal property), shares (or transferable certificates of beneficial interest) in other REITs, any stock or debt instrument attributable to the investment of the proceeds of a stock offering or a public offering of debt with a term of at least five years (but only for the one-year period beginning on the date the REIT receives such proceeds), debt instruments of publicly offered REITs, and personal property leased in connection with a lease of real property for which the rent attributable to personal property is not greater than 15% of the total rent received under the lease. </w:t>
      </w:r>
    </w:p>
    <w:p>
      <w:pPr>
        <w:pStyle w:val="TextBody"/>
        <w:bidi w:val="0"/>
        <w:spacing w:before="240" w:after="0"/>
        <w:jc w:val="left"/>
        <w:rPr>
          <w:rFonts w:ascii="Times New Roman" w:hAnsi="Times New Roman"/>
          <w:sz w:val="20"/>
        </w:rPr>
      </w:pPr>
      <w:r>
        <w:rPr>
          <w:rFonts w:ascii="Times New Roman" w:hAnsi="Times New Roman"/>
          <w:sz w:val="20"/>
        </w:rPr>
        <w:t xml:space="preserve">Second, not more than 25% of the value of our total assets may be represented by securities (including securities of taxable REIT subsidiaries), other than those securities includable in the 75% asset test. </w:t>
      </w:r>
    </w:p>
    <w:p>
      <w:pPr>
        <w:pStyle w:val="TextBody"/>
        <w:bidi w:val="0"/>
        <w:spacing w:before="240" w:after="0"/>
        <w:jc w:val="left"/>
        <w:rPr>
          <w:rFonts w:ascii="Times New Roman" w:hAnsi="Times New Roman"/>
          <w:sz w:val="20"/>
        </w:rPr>
      </w:pPr>
      <w:r>
        <w:rPr>
          <w:rFonts w:ascii="Times New Roman" w:hAnsi="Times New Roman"/>
          <w:sz w:val="20"/>
        </w:rPr>
        <w:t xml:space="preserve">Third, of the investments included in the 25% asset class, and except for certain investments in other REITs, our qualified REIT subsidiaries and taxable REIT subsidiaries, the value of any one issuer’s securities may not exceed 5% of the value of our total assets, and we may not own more than 10% of the total vote or value of the outstanding securities of any one issuer. Certain types of securities we may own are disregarded as securities solely for purposes of the 10% value test, including, but not limited to, securities satisfying the “straight debt” safe harbor, securities issued by a partnership that itself would satisfy the 75% income test if it were a REIT, any loan to an individual or an estate, any obligation to pay rents from real property and any security issued by a REIT. In addition, solely for purposes of the 10% value test, the determination of our interest in the assets of a partnership in which we own an interest will be based on our proportionate interest in any securities issued by the partnership, excluding for this purpose certain securities described in the Code. From time to time we may own securities (including debt securities) of issuers that do not qualify as a REIT, a qualified REIT subsidiary or a taxable REIT subsidiary. We intend that our ownership of any such securities will be structured in a manner that allows us to comply with the asset tests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Fourth, not more than 25% (20% for (i) taxable years beginning before July 31, 2008 and (ii) taxable years beginning after December 31, 2017 and before January 1, 2026) of the value of our total assets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represented by the securities of one or more taxable REIT subsidiaries. We, through our operating partnership, own interests in companies that have elected, together with us, to be treated as our taxable REIT subsidiaries, and we may acquire securities in additional taxable REIT subsidiaries in the future. So long as each of these companies qualifies as a taxable REIT subsidiary of ours, we will not be subject to the 5% asset test, the 10% voting power limitation or the 10% value limitation with respect to our ownership of the securities of such companies. We believe that the aggregate value of our taxable REIT subsidiaries has not exceeded, and in the future will not exceed, 25% (20% for (i) taxable years beginning before July 31, 2008 and (ii) taxable years beginning after December 31, 2017 and before January 1, 2026) of the aggregate value of our gross assets. We generally do not obtain independent appraisals to support these conclusions. In addition, there can be no assurance that the IRS will not disagree with our determinations of value. </w:t>
      </w:r>
    </w:p>
    <w:p>
      <w:pPr>
        <w:pStyle w:val="TextBody"/>
        <w:bidi w:val="0"/>
        <w:spacing w:before="240" w:after="0"/>
        <w:jc w:val="left"/>
        <w:rPr>
          <w:rFonts w:ascii="Times New Roman" w:hAnsi="Times New Roman"/>
          <w:sz w:val="20"/>
        </w:rPr>
      </w:pPr>
      <w:r>
        <w:rPr>
          <w:rFonts w:ascii="Times New Roman" w:hAnsi="Times New Roman"/>
          <w:sz w:val="20"/>
        </w:rPr>
        <w:t xml:space="preserve">Fifth, not more than 25% of the value of our total assets may be represented by debt instruments of publicly offered REITs to the extent those debt instruments would not be real estate assets but for the inclusion of debt instruments of publicly offered REITs in the meaning of real estate assets, as described above (e.g., a debt instrument issued by a publicly offered REIT that is not secured by a mortgage on real property). </w:t>
      </w:r>
    </w:p>
    <w:p>
      <w:pPr>
        <w:pStyle w:val="TextBody"/>
        <w:bidi w:val="0"/>
        <w:spacing w:before="240" w:after="0"/>
        <w:jc w:val="left"/>
        <w:rPr>
          <w:rFonts w:ascii="Times New Roman" w:hAnsi="Times New Roman"/>
          <w:sz w:val="20"/>
        </w:rPr>
      </w:pPr>
      <w:r>
        <w:rPr>
          <w:rFonts w:ascii="Times New Roman" w:hAnsi="Times New Roman"/>
          <w:sz w:val="20"/>
        </w:rPr>
        <w:t xml:space="preserve">The asset tests must be satisfied at the close of each calendar quarter of our taxable year in which we (directly or through any partnership or qualified REIT subsidiary) acquire securities in the applicable issuer, and also at the close of each calendar quarter in which we increase our ownership of securities of such issuer (including as a result of an increase in our interest in any partnership that owns such securities). For example, our indirect ownership of securities of each issuer will increase as a result of our capital contributions to our operating partnership or as limited partners exercise any redemption/exchange rights. Also, after initially meeting the asset tests at the close of any quarter, we will not lose our status as a REIT for failure to satisfy the asset tests at the end of a later quarter solely by reason of changes in asset values. If we fail to satisfy an asset test because we acquire securities or other property during a quarter (including as a result of an increase in our interest in any partnership), we may cure this failure by disposing of sufficient nonqualifying assets within 30 days after the close of that quarter. We believe that we have maintained, and we intend to maintain, adequate records of the value of our assets to ensure compliance with the asset tests. If we fail to cure any noncompliance with the asset tests within the 30-day cure period, we would cease to qualify as a REIT unless we are eligible for certain relief provisions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Certain relief provisions may be available to us if we discover a failure to satisfy the asset tests described above after the 30-day cure period. Under these provisions, we will be deemed to have met the 5% and 10% asset tests if the value of our nonqualifying assets (i) does not exceed the lesser of (a) 1% of the total value of our assets at the end of the applicable quarter or (b) $10,000,000, and (ii) we dispose of the nonqualifying assets or otherwise satisfy such tests within (a) six months after the last day of the quarter in which the failure to satisfy the asset tests is discovered or (b) the period of time prescribed by Treasury Regulations to be issued. For violations of any of the asset tests due to reasonable cause and not due to willful neglect and that are, in the case of the 5% and 10% asset tests, in excess of the de minimis exception described above, we may avoid disqualification as a REIT after the 30-day cure period by taking steps including (i) the disposition of sufficient nonqualifying assets, or the taking of other actions, which allow us to meet the asset tests within (a) six months after the last day of the quarter in which the failure to satisfy the asset tests is discovered or (b) the period of time prescribed by Treasury Regulations to be issued, (ii) paying a tax equal to the greater of (a) $50,000 or (b) the U.S. federal corporate income tax rate multiplied by the net income generated by the nonqualifying assets, and (iii) disclosing certain information to the IRS.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we have satisfied the asset tests described above and plan to take steps to ensure that we satisfy such tests for any quarter with respect to which retesting is to occur, there can be no assurance that we will always be successful, or will not require a reduction in our operating partnership’s overall interest in an issuer (including in a taxable REIT subsidiary). If we fail to cure any noncompliance with the asset tests in a timely manner, and the relief provisions described above are not available, we would cease to qualify as a REIT.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Annual Distribution Requirements</w:t>
      </w:r>
      <w:r>
        <w:rPr>
          <w:rFonts w:ascii="Times New Roman" w:hAnsi="Times New Roman"/>
          <w:sz w:val="20"/>
        </w:rPr>
        <w:t xml:space="preserve">. To maintain our qualification as a REIT, we are required to distribute dividends, other than capital gain dividends, to our stockholders each year in an amount at least equal to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90% of our “REIT taxable income”;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90% of our after-tax net income, if any, from foreclosure property; minus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excess of the sum of certain items of non-cash income over 5% of our “REIT taxable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these purposes, our “REIT taxable income” is computed without regard to the dividends paid deduction and our net capital gain. In addition, for purposes of this test, non-cash income generally means income attributable to leveled stepped rents, original issue discount, cancellation of indebtedness, or a like-kind exchange that is later determined to be taxable.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“REIT taxable income” will be reduced by any taxes we are required to pay on any gain we recognize from the disposition of any asset we acquired from a corporation that is or has been a C corporation in a transaction in which our tax basis in the asset is less than the fair market value of the asset, in each case determined as of the date on which we acquired the asset, within the five-year period following our acquisition of such asset, as described above under “—General.”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below, a taxpayer’s deduction for net business interest expense will generally be limited to 30% of its taxable income, as adjusted for certain items of income, gain, deduction or loss. Any business interest deduction that is disallowed due to this limitation may be carried forward to future taxable years, subject to special rules applicable to partnerships. If we or any of our subsidiary partnerships (including our operating partnership) are subject to this interest expense limitation, our REIT taxable income for a taxable year may be increased. Taxpayers that conduct certain real estate businesses may elect not to have this interest expense limitation apply to them, provided that they use an alternative depreciation system to depreciate certain property. We believe that we or any of our subsidiary partnerships that are subject to this interest expense limitation will be eligible to make this election. If such election is made, although we or such subsidiary partnership, as applicable, would not be subject to the interest expense limitation described above, depreciation deductions may be reduced and, as a result, our REIT taxable income for a taxable year may be increased. </w:t>
      </w:r>
    </w:p>
    <w:p>
      <w:pPr>
        <w:pStyle w:val="TextBody"/>
        <w:bidi w:val="0"/>
        <w:spacing w:before="240" w:after="0"/>
        <w:jc w:val="left"/>
        <w:rPr>
          <w:rFonts w:ascii="Times New Roman" w:hAnsi="Times New Roman"/>
          <w:sz w:val="20"/>
        </w:rPr>
      </w:pPr>
      <w:r>
        <w:rPr>
          <w:rFonts w:ascii="Times New Roman" w:hAnsi="Times New Roman"/>
          <w:sz w:val="20"/>
        </w:rPr>
        <w:t xml:space="preserve">We generally must pay, or be treated as paying, the distributions described above in the taxable year to which they relate. At our election, a distribution will be treated as paid in a taxable year if it is declared before we timely file our tax return for such year and paid on or before the first regular dividend payment after such declaration, provided such payment is made during the 12-month period following the close of such year. These distributions are treated as received by our stockholders in the year in which they are paid. This is so even though these distributions relate to the prior year for purposes of the 90% distribution requirement. In order to be taken into account for purposes of our distribution requirement, except as provided below, the amount distributed must not be preferential—i.e., every stockholder of the class of stock to which a distribution is made must be treated the same as every other stockholder of that class, and no class of stock may be treated other than according to its dividend rights as a class. This preferential dividend limitation will not apply to distributions made by us, provided we qualify as a “publicly offered REIT.” We believe that we are, and expect we will continue to be, a “publicly offered REIT.” However, Subsidiary REITs we may own from time to time may not be publicly offered REITs. To the extent that we do not distribute all of our net capital gain, or distribute at least 90%, but less than 100%, of our “REIT taxable income,” as adjusted, we will be required to pay regular U.S. federal corporate income tax on the undistributed amount. We believe that we have made, and we intend to continue to make, timely distributions sufficient to satisfy these annual distribution requirements and to minimize our corporate tax obligations. In this regard, the partnership agreement of our operating partnership authorizes us, as the general partner of our operating partnership, to take such steps as may be necessary to cause our operating partnership to distribute to its partners an amount sufficient to permit us to meet these distribution requirements and to minimize our corporate tax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expect that our REIT taxable income will be less than our cash flow because of depreciation and other non-cash charges included in computing REIT taxable income. Accordingly, we anticipate that we generally will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or for other reasons. If these timing differences occur, we may borrow funds to pay dividends or pay dividends in the form of taxable stock distributions in order to meet the distribution requirements, while preserving our cash. </w:t>
      </w:r>
    </w:p>
    <w:p>
      <w:pPr>
        <w:pStyle w:val="TextBody"/>
        <w:bidi w:val="0"/>
        <w:spacing w:before="240" w:after="0"/>
        <w:jc w:val="left"/>
        <w:rPr>
          <w:rFonts w:ascii="Times New Roman" w:hAnsi="Times New Roman"/>
          <w:sz w:val="20"/>
        </w:rPr>
      </w:pPr>
      <w:r>
        <w:rPr>
          <w:rFonts w:ascii="Times New Roman" w:hAnsi="Times New Roman"/>
          <w:sz w:val="20"/>
        </w:rPr>
        <w:t xml:space="preserve">Under some circumstances, we may be able to rectify an inadvertent failure to meet the 90% distribution requirement for a year by paying “deficiency dividends” to our stockholders in a later year, which may be included in our deduction for dividends paid for the earlier year. In that case, we may be able to avoid being taxed on amounts distributed as deficiency dividends, subject to the 4% excise tax described below. However, we will be required to pay interest to the IRS based upon the amount of any deduction claimed for deficiency dividends. While the payment of a deficiency dividend will apply to a prior year for purposes of our REIT distribution requirements, it will be treated as an additional distribution to our stockholders in the year such dividend is paid.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will be required to pay a 4% excise tax to the extent we fail to distribute during each calendar year at least the sum of 85% of our ordinary income for such year, 95% of our capital gain net income for the year and any undistributed taxable income from prior periods. Any ordinary income and net capital gain on which U.S. federal corporate income tax is imposed for any year is treated as an amount distributed during that year for purposes of calculating this excise tax.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90% distribution requirement and excise tax described above, dividends declared during the last three months of the taxable year, payable to stockholders of record on a specified date during such period and paid during January of the following year, will be treated as paid by us and received by our stockholders on December 31 of the year in which they are declared. </w:t>
      </w:r>
    </w:p>
    <w:p>
      <w:pPr>
        <w:pStyle w:val="TextBody"/>
        <w:bidi w:val="0"/>
        <w:spacing w:before="240" w:after="0"/>
        <w:jc w:val="left"/>
        <w:rPr>
          <w:rFonts w:ascii="Times New Roman" w:hAnsi="Times New Roman"/>
          <w:sz w:val="20"/>
        </w:rPr>
      </w:pPr>
      <w:r>
        <w:rPr>
          <w:rFonts w:ascii="Times New Roman" w:hAnsi="Times New Roman"/>
          <w:b/>
          <w:i/>
          <w:sz w:val="20"/>
        </w:rPr>
        <w:t>Like-Kind Exchanges</w:t>
      </w:r>
      <w:r>
        <w:rPr>
          <w:rFonts w:ascii="Times New Roman" w:hAnsi="Times New Roman"/>
          <w:sz w:val="20"/>
        </w:rPr>
        <w:t xml:space="preserve">. We may dispose of real property that is not held primarily for sale in transactions intended to qualify as like-kind exchanges under the Code. Such like-kind exchanges are intended to result in the deferral of gain for U.S. federal income tax purposes. The failure of any such transaction to qualify as a like-kind exchange could require us to pay U.S. federal income tax, possibly including the 100% prohibited transaction tax, or deficiency dividends, depending on the facts and circumstances surrounding the particular transaction. </w:t>
      </w:r>
    </w:p>
    <w:p>
      <w:pPr>
        <w:pStyle w:val="TextBody"/>
        <w:bidi w:val="0"/>
        <w:spacing w:before="240" w:after="0"/>
        <w:jc w:val="left"/>
        <w:rPr>
          <w:rFonts w:ascii="Times New Roman" w:hAnsi="Times New Roman"/>
          <w:sz w:val="20"/>
        </w:rPr>
      </w:pPr>
      <w:r>
        <w:rPr>
          <w:rFonts w:ascii="Times New Roman" w:hAnsi="Times New Roman"/>
          <w:b/>
          <w:i/>
          <w:sz w:val="20"/>
        </w:rPr>
        <w:t>Tax Liabilities and Attributes Inherited in Connection with Acquisitions</w:t>
      </w:r>
      <w:r>
        <w:rPr>
          <w:rFonts w:ascii="Times New Roman" w:hAnsi="Times New Roman"/>
          <w:sz w:val="20"/>
        </w:rPr>
        <w:t xml:space="preserve">. From time to time, we or our operating partnership may acquire other corporations or entities and, in connection with such acquisitions, we may succeed to the historical tax attributes and liabilities of such entities. For example, if we acquire a C corporation and subsequently dispose of its assets within five years of the acquisition, we could be required to pay the built-in gain tax described above under “—General.” In addition, in order to qualify as a REIT, at the end of any taxable year, we must not have any earnings and profits accumulated in a non-REIT year. As a result, if we acquire a C corporation, we must distribute the corporation’s earnings and profits accumulated prior to the acquisition before the end of the taxable year in which we acquire the corporation. We also could be required to pay the acquired entity’s unpaid taxes even though such liabilities arose prior to the time we acquired the entity. </w:t>
      </w:r>
    </w:p>
    <w:p>
      <w:pPr>
        <w:pStyle w:val="TextBody"/>
        <w:bidi w:val="0"/>
        <w:spacing w:before="240" w:after="0"/>
        <w:jc w:val="left"/>
        <w:rPr>
          <w:rFonts w:ascii="Times New Roman" w:hAnsi="Times New Roman"/>
          <w:sz w:val="20"/>
        </w:rPr>
      </w:pPr>
      <w:r>
        <w:rPr>
          <w:rFonts w:ascii="Times New Roman" w:hAnsi="Times New Roman"/>
          <w:sz w:val="20"/>
        </w:rPr>
        <w:t xml:space="preserve">Moreover, we or one of our subsidiaries may from time to time acquire other REITs through a merger or acquisition. If any such REIT failed to qualify as a REIT for any of its taxable years, such REIT would be liable for (and we or our subsidiary, as applicable, as the surviving corporation in the merger or acquisition, would be obligated to pay) regular U.S. federal corporate income tax on its taxable income for such taxable years. In addition, if such REIT was a C corporation at the time of the merger or acquisition, the tax consequences described in the preceding paragraph generally would apply. If such REIT failed to qualify as a REIT for any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its taxable years, but qualified as a REIT at the time of such merger or acquisition, and we acquired such REIT’s assets in a transaction in which our tax basis in the assets of such REIT is determined, in whole or in part, by reference to such REIT’s tax basis in such assets, we generally would be subject to tax on the built-in gain on each asset of such REIT as described above if we were to dispose of the asset in a taxable transaction during the five-year period following such REIT’s requalification as a REIT, subject to certain exceptions. Moreover, even if such REIT qualified as a REIT at all relevant times, we would similarly be liable for other unpaid taxes (if any) of such REIT (such as the 100% tax on gains from any sales treated as “prohibited transactions” as described above under “—Prohibited Transaction Income”). </w:t>
      </w:r>
    </w:p>
    <w:p>
      <w:pPr>
        <w:pStyle w:val="TextBody"/>
        <w:bidi w:val="0"/>
        <w:spacing w:before="240" w:after="0"/>
        <w:jc w:val="left"/>
        <w:rPr>
          <w:rFonts w:ascii="Times New Roman" w:hAnsi="Times New Roman"/>
          <w:sz w:val="20"/>
        </w:rPr>
      </w:pPr>
      <w:r>
        <w:rPr>
          <w:rFonts w:ascii="Times New Roman" w:hAnsi="Times New Roman"/>
          <w:sz w:val="20"/>
        </w:rPr>
        <w:t xml:space="preserve">Furthermore, after our acquisition of another corporation or entity, the asset and income tests will apply to all of our assets, including the assets we acquire from such corporation or entity, and to all of our income, including the income derived from the assets we acquire from such corporation or entity. As a result, the nature of the assets that we acquire from such corporation or entity and the income we derive from those assets may have an effect on our tax status as a REIT. </w:t>
      </w:r>
    </w:p>
    <w:p>
      <w:pPr>
        <w:pStyle w:val="TextBody"/>
        <w:bidi w:val="0"/>
        <w:spacing w:before="240" w:after="0"/>
        <w:jc w:val="left"/>
        <w:rPr>
          <w:rFonts w:ascii="Times New Roman" w:hAnsi="Times New Roman"/>
          <w:sz w:val="20"/>
        </w:rPr>
      </w:pPr>
      <w:r>
        <w:rPr>
          <w:rFonts w:ascii="Times New Roman" w:hAnsi="Times New Roman"/>
          <w:b/>
          <w:i/>
          <w:sz w:val="20"/>
        </w:rPr>
        <w:t>Failure to Qualify</w:t>
      </w:r>
      <w:r>
        <w:rPr>
          <w:rFonts w:ascii="Times New Roman" w:hAnsi="Times New Roman"/>
          <w:sz w:val="20"/>
        </w:rPr>
        <w:t xml:space="preserve">. If we discover a violation of a provision of the Code that would result in our failure to qualify as a REIT, certain specified cure provisions may be available to us. Except with respect to violations of the gross income tests and asset tests (for which the cure provisions are described above), and provided the violation is due to reasonable cause and not due to willful neglect, these cure provisions generally impose a $50,000 penalty for each violation in lieu of a loss of REIT status. If we fail to satisfy the requirements for taxation as a REIT in any taxable year, and the relief provisions do not apply, we will be required to pay regular U.S. federal corporate income tax, including any applicable alternative minimum tax, on our taxable income. Distributions to stockholders in any year in which we fail to qualify as a REIT will not be deductible by us. As a result, we anticipate that our failure to qualify as a REIT would reduce the cash available for distribution by us to our stockholders. In addition, if we fail to qualify as a REIT, we will not be required to distribute any amounts to our stockholders and all distributions to stockholders will be taxable as regular corporate dividends to the extent of our current and accumulated earnings and profits. In such event, corporate stockholders may be eligible for the dividends-received deduction. In addition, non-corporate stockholders, including individuals, may be eligible for the preferential tax rates on qualified dividend income. Non-corporate stockholders, including individuals, generally may deduct up to 20% of dividends from a REIT, other than capital gain dividends and dividends treated as qualified dividend income, for purposes of determining their U.S. federal income tax (but not for purposes of the 3.8% Medicare tax), subject to certain holding period requirements and other limitations. If we fail to qualify as a REIT, such stockholders may not claim this deduction with respect to dividends paid by us. Unless entitled to relief under specific statutory provisions, we would also be ineligible to elect to be treated as a REIT for the four taxable years following the year for which we lose our qualification. It is not possible to state whether in all circumstances we would be entitled to this statutory relief. </w:t>
      </w:r>
    </w:p>
    <w:p>
      <w:pPr>
        <w:pStyle w:val="TextBody"/>
        <w:bidi w:val="0"/>
        <w:spacing w:before="360" w:after="0"/>
        <w:jc w:val="left"/>
        <w:rPr>
          <w:rFonts w:ascii="Times New Roman" w:hAnsi="Times New Roman"/>
          <w:b/>
          <w:sz w:val="20"/>
        </w:rPr>
      </w:pPr>
      <w:r>
        <w:rPr>
          <w:rFonts w:ascii="Times New Roman" w:hAnsi="Times New Roman"/>
          <w:b/>
          <w:sz w:val="20"/>
        </w:rPr>
        <w:t xml:space="preserve">Tax Aspects of Our Operating Partnership and its Subsidiary Partnerships and Limited Liability Companies </w:t>
      </w:r>
    </w:p>
    <w:p>
      <w:pPr>
        <w:pStyle w:val="TextBody"/>
        <w:bidi w:val="0"/>
        <w:spacing w:before="120" w:after="0"/>
        <w:jc w:val="left"/>
        <w:rPr>
          <w:rFonts w:ascii="Times New Roman" w:hAnsi="Times New Roman"/>
          <w:sz w:val="20"/>
        </w:rPr>
      </w:pPr>
      <w:r>
        <w:rPr>
          <w:rFonts w:ascii="Times New Roman" w:hAnsi="Times New Roman"/>
          <w:b/>
          <w:i/>
          <w:sz w:val="20"/>
        </w:rPr>
        <w:t>General</w:t>
      </w:r>
      <w:r>
        <w:rPr>
          <w:rFonts w:ascii="Times New Roman" w:hAnsi="Times New Roman"/>
          <w:sz w:val="20"/>
        </w:rPr>
        <w:t xml:space="preserve">. All of our investments are held indirectly through our operating partnership. In addition, our operating partnership holds certain of its investments indirectly through subsidiary partnerships and limited liability companies that we believe are and will continue to be treated as partnerships or disregarded entities for U.S. federal income tax purposes. In general, entities that are treated as partnerships or disregarded entities for U.S. federal income tax purposes are “pass-through” entities which are not required to pay U.S. federal income tax. Rather, partners of such partnerships are allocated their shares of the items of income, gain, loss, deduction and credit of the partnership, and are potentially required to pay tax on this income, without regard to whether they receive a distribution from the partnership. We will include in our income our share of these partnership items for purposes of the various gross income tests, the computation of our REIT taxable income, and the REIT distribution requirements. Moreover, for purposes of the asset tests, we will include our pro rata share of assets held by our operating partnership, including its share of the assets of its subsidiary partnerships, based on our capital interests in each such entity. See “—Taxation of Our Company—Ownership of Interests in Partnerships, Limited Liability Companies and Qualified REIT Subsidiaries.” A disregarded entity is not treated as a separate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entity for U.S. federal income tax purposes, and all assets, liabilities and items of income, gain, loss, deduction and credit of a disregarded entity are treated as assets, liabilities and items of income, gain, loss, deduction and credit of its parent that is not a disregarded entity (e.g., our operating partnership) for all purposes under the Code, including all REIT qualification tests. </w:t>
      </w:r>
    </w:p>
    <w:p>
      <w:pPr>
        <w:pStyle w:val="TextBody"/>
        <w:bidi w:val="0"/>
        <w:spacing w:before="240" w:after="0"/>
        <w:jc w:val="left"/>
        <w:rPr>
          <w:rFonts w:ascii="Times New Roman" w:hAnsi="Times New Roman"/>
          <w:sz w:val="20"/>
        </w:rPr>
      </w:pPr>
      <w:r>
        <w:rPr>
          <w:rFonts w:ascii="Times New Roman" w:hAnsi="Times New Roman"/>
          <w:b/>
          <w:i/>
          <w:sz w:val="20"/>
        </w:rPr>
        <w:t>Entity Classification</w:t>
      </w:r>
      <w:r>
        <w:rPr>
          <w:rFonts w:ascii="Times New Roman" w:hAnsi="Times New Roman"/>
          <w:sz w:val="20"/>
        </w:rPr>
        <w:t xml:space="preserve">. Our interests in our operating partnership and its subsidiary partnerships and limited liability companies involve special tax considerations, including the possibility that the IRS might challenge the status of these entities as partnerships or disregarded entities for U.S. federal income tax purposes. For example, an entity that would otherwise be treated as a partnership for U.S. federal income tax purposes may nonetheless be taxable as a corporation if it is a “publicly traded partnership” and certain other requirements are met. A partnership will be treated as a publicly traded partnership if its interests are traded on an established securities market or are readily tradable on a secondary market or a substantial equivalent thereof, within the meaning of applicable Treasury Regulations. We do not anticipate that our operating partnership or any of its subsidiary partnerships will be treated as a publicly traded partnership that is taxable as a corporation. However, if any such entity were treated as a corporation, it would be required to pay an entity-level tax on its income. In this situation, the character of our assets and items of gross income would change and could prevent us from satisfying the REIT asset tests and possibly the REIT income tests. See “—Taxation of Our Company—Asset Tests” and “—Income Tests.” This, in turn, could prevent us from qualifying as a REIT. See “—Taxation of Our Company—Failure to Qualify” for a discussion of the effect of our failure to meet these tests. In addition, a change in the tax status of our operating partnership, or a subsidiary treated as a partnership or disregarded entity, to a corporation might be treated as a taxable event. If so, we might incur a tax liability without any related cash payment. We believe our operating partnership and each of its subsidiary partnerships and limited liability companies are and will continue to be treated as partnerships or disregarded entities for U.S. federal income tax purposes. </w:t>
      </w:r>
    </w:p>
    <w:p>
      <w:pPr>
        <w:pStyle w:val="TextBody"/>
        <w:bidi w:val="0"/>
        <w:spacing w:before="240" w:after="0"/>
        <w:jc w:val="left"/>
        <w:rPr>
          <w:rFonts w:ascii="Times New Roman" w:hAnsi="Times New Roman"/>
          <w:sz w:val="20"/>
        </w:rPr>
      </w:pPr>
      <w:r>
        <w:rPr>
          <w:rFonts w:ascii="Times New Roman" w:hAnsi="Times New Roman"/>
          <w:b/>
          <w:i/>
          <w:sz w:val="20"/>
        </w:rPr>
        <w:t>Allocations of Income, Gain, Loss and Deduction</w:t>
      </w:r>
      <w:r>
        <w:rPr>
          <w:rFonts w:ascii="Times New Roman" w:hAnsi="Times New Roman"/>
          <w:sz w:val="20"/>
        </w:rPr>
        <w:t xml:space="preserve">. The operating partnership agreement generally provides that items of operating income will be allocated to us to the extent of the accrued preferred return on our preferred units and then to the holders of common units in proportion to the number of common units held by each such unitholder. Items of operating loss will generally be allocated first to the holders of common units in proportion to the number of common units held, and then to us with respect to our preferred units. Certain limited partners may, from time to time, guarantee debt of our operating partnership, indirectly through an agreement to make capital contributions to our operating partnership under limited circumstances. As a result of these guaranties or contribution agreements, and notwithstanding the foregoing discussion of allocations of income and loss of our operating partnership to holders of units, such limited partners could under limited circumstances be allocated a disproportionate amount of net loss upon a liquidation of our operating partnership, which net loss would have otherwise been allocable to us. In addition, the partnership agreement further provides that holders of long-term incentive units, class C units and class D units may be entitled to receive special allocations of gain in the event of a sale or hypothetical sale of assets of our operating partnership prior to the allocation of gain to holders of common units. This special allocation of gain is intended to enable the holders of long-term incentive units, class C units and class D units to convert such units into common units. </w:t>
      </w:r>
    </w:p>
    <w:p>
      <w:pPr>
        <w:pStyle w:val="TextBody"/>
        <w:bidi w:val="0"/>
        <w:spacing w:before="240" w:after="0"/>
        <w:jc w:val="left"/>
        <w:rPr>
          <w:rFonts w:ascii="Times New Roman" w:hAnsi="Times New Roman"/>
          <w:sz w:val="20"/>
        </w:rPr>
      </w:pPr>
      <w:r>
        <w:rPr>
          <w:rFonts w:ascii="Times New Roman" w:hAnsi="Times New Roman"/>
          <w:sz w:val="20"/>
        </w:rPr>
        <w:t xml:space="preserve">If an allocation of partnership income or loss does not comply with the requirements of Section 704(b) of the Code and the Treasury Regulations thereunder, the item subject to the allocation will be reallocated in accordance with the partners’ interests in the partnership. This reallocation will be determined by taking into account all of the facts and circumstances relating to the economic arrangement of the partners with respect to such item. The allocations of taxable income and loss of our operating partnership and any subsidiaries that are treated as partnerships for U.S. federal income tax purposes are intended to comply with the requirements of Section 704(b) of the Code and the Treasury Regulations thereunder. </w:t>
      </w:r>
    </w:p>
    <w:p>
      <w:pPr>
        <w:pStyle w:val="TextBody"/>
        <w:bidi w:val="0"/>
        <w:spacing w:before="240" w:after="0"/>
        <w:jc w:val="left"/>
        <w:rPr>
          <w:rFonts w:ascii="Times New Roman" w:hAnsi="Times New Roman"/>
          <w:sz w:val="20"/>
        </w:rPr>
      </w:pPr>
      <w:r>
        <w:rPr>
          <w:rFonts w:ascii="Times New Roman" w:hAnsi="Times New Roman"/>
          <w:b/>
          <w:i/>
          <w:sz w:val="20"/>
        </w:rPr>
        <w:t>Tax Allocations With Respect to the Properties</w:t>
      </w:r>
      <w:r>
        <w:rPr>
          <w:rFonts w:ascii="Times New Roman" w:hAnsi="Times New Roman"/>
          <w:sz w:val="20"/>
        </w:rPr>
        <w:t xml:space="preserve">. Under Section 704(c) of the Code, items of income, gain, loss and deduction attributable to appreciated or depreciated property that is contributed to a partnership in exchange for an interest in the partnership must be allocated in a manner so that the contributing partner is charged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unrealized gain or benefits from the unrealized loss associated with the property at the time of the contribution. The amount of the unrealized gain or unrealized loss generally is equal to the difference between the fair market value or book value and the adjusted tax basis of the contributed property at the time of contribution (this difference is referred to as a book-tax difference), as adjusted from time to time. These allocations are solely for U.S. federal income tax purposes and do not affect the book capital accounts or other economic or legal arrangements among the partners. </w:t>
      </w:r>
    </w:p>
    <w:p>
      <w:pPr>
        <w:pStyle w:val="TextBody"/>
        <w:bidi w:val="0"/>
        <w:spacing w:before="240" w:after="0"/>
        <w:jc w:val="left"/>
        <w:rPr>
          <w:rFonts w:ascii="Times New Roman" w:hAnsi="Times New Roman"/>
          <w:sz w:val="20"/>
        </w:rPr>
      </w:pPr>
      <w:r>
        <w:rPr>
          <w:rFonts w:ascii="Times New Roman" w:hAnsi="Times New Roman"/>
          <w:sz w:val="20"/>
        </w:rPr>
        <w:t xml:space="preserve">Appreciated property was contributed to our operating partnership in exchange for interests in our operating partnership in connection with the formation transactions. In addition, our operating partnership may, from time to time, acquire interests in property in exchange for interests in our operating partnership. In that case, the tax basis of these property interests generally will carry over to the operating partnership, notwithstanding their different book (i.e., fair market) value. The partnership agreement requires that income and loss allocations with respect to these properties be made in a manner consistent with Section 704(c) of the Code. Treasury Regulations issued under Section 704(c) of the Code provide partnerships with a choice of several methods of accounting for book-tax differences. Depending on the method we choose in connection with any particular contribution, the carryover basis of each of the contributed interests in the properties in the hands of our operating partnership (i) could cause us to be allocated lower amounts of depreciation deductions for tax purposes than would be allocated to us if any of the contributed properties were to have a tax basis equal to its respective fair market value at the time of the contribution and (ii) could cause us to be allocated taxable gain in the event of a sale of such contributed interests or properties in excess of the economic or book income allocated to us as a result of such sale, with a corresponding benefit to the other partners in our operating partnership. An allocation described in clause (ii) above might cause us or the other partners to recognize taxable income in excess of cash proceeds in the event of a sale or other disposition of property, which might adversely affect our ability to comply with the REIT distribution requirements. See “—Taxation of Our Company—Requirements for Qualification as a REIT” and “—Annual Distribution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Any property acquired by our operating partnership in a taxable transaction will initially have a tax basis equal to its fair market value, and Section 704(c) of the Code generally will not apply. </w:t>
      </w:r>
    </w:p>
    <w:p>
      <w:pPr>
        <w:pStyle w:val="TextBody"/>
        <w:bidi w:val="0"/>
        <w:spacing w:before="240" w:after="0"/>
        <w:jc w:val="left"/>
        <w:rPr>
          <w:rFonts w:ascii="Times New Roman" w:hAnsi="Times New Roman"/>
          <w:sz w:val="20"/>
        </w:rPr>
      </w:pPr>
      <w:r>
        <w:rPr>
          <w:rFonts w:ascii="Times New Roman" w:hAnsi="Times New Roman"/>
          <w:b/>
          <w:i/>
          <w:sz w:val="20"/>
        </w:rPr>
        <w:t>Partnership Audit Rules</w:t>
      </w:r>
      <w:r>
        <w:rPr>
          <w:rFonts w:ascii="Times New Roman" w:hAnsi="Times New Roman"/>
          <w:sz w:val="20"/>
        </w:rPr>
        <w:t xml:space="preserve">. Under current tax law, subject to certain exceptions, any audit adjustment to items of income, gain, loss, deduction, or credit of a partnership (and any partner’s distributive share thereof) is determined, and taxes, interest, or penalties attributable thereto are assessed and collected, at the partnership level. It is possible that these rules could result in partnerships in which we directly or indirectly invest, including our operating partnership, being required to pay additional taxes, interest and penalties as a result of an audit adjustment, and we, as a direct or indirect partner of these partnerships, could be required to bear the economic burden of those taxes, interest, and penalties even though we, as a REIT, may not otherwise have been required to pay additional corporate-level taxes as a result of the related audit adjustment. Investors are urged to consult their tax advisors with respect to these rules and their potential impact on their investment in our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Consequences to Holders of Our Capital Stock and the Operating Partnership’s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certain material U.S. federal income tax consequences to you of purchasing, owning and disposing of our capital stock or the operating partnership’s debt securities. This discussion is limited to holders who hold shares of our capital stock or the operating partnership’s debt securities as “capital assets” within the meaning of Section 1221 of the Code (generally, property held for investment). This discussion does not address all U.S. federal income tax consequences relevant to a holder’s particular circumstances, including the alternative minimum tax. In addition, except where specifically noted, it does not address consequences relevant to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other entities or arrangements treated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capital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“foreign 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capital stock or the operating partnership’s debt securities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our capital stock or the operating partnership’s debt securities being taken into account in an “applicable financial statement” (as defined in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capital stock or the operating partnership’s debt securities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(as defined below) whose functional currency is not the U.S. dollar.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THIS DISCUSSION IS FOR INFORMATIONAL PURPOSES ONLY AND IS NOT INTENDED AS TAX ADVICE. INVESTORS SHOULD CONSULT THEIR TAX ADVISORS WITH RESPECT TO THE APPLICATION OF THE U.S. FEDERAL INCOME TAX LAWS TO THEIR PARTICULAR SITUATIONS AS WELL AS ANY TAX CONSEQUENCES OF THE PURCHASE, OWNERSHIP AND DISPOSITION OF OUR CAPITAL STOCK OR THE OPERATING PARTNERSHIP’S DEBT SECURITIES ARISING UNDER OTHER U.S. FEDERAL TAX LAWS (INCLUDING ESTATE AND GIFT TAX LAWS), UNDER THE LAWS OF ANY STATE, LOCAL OR NON-U.S. TAXING JURISDICTION OR UNDER ANY APPLICABLE TAX TREATY.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“U.S. holder” is a beneficial owner of shares of our capital stock or the operating partnership’s debt securities that, for U.S. federal income tax purposes, is or is treated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“non-U.S. holder” is any beneficial owner of our capital stock or the operating partnership’s debt securities that is neither a U.S. holder nor an entity treated as a partnership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If an entity treated as a partnership for U.S. federal income tax purposes holds shares of our capital stock or the operating partnership’s debt securities, the tax treatment of a partner in the partnership generally will depend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status of the partner, the activities of the partnership and certain determinations made at the partner level. Accordingly, partnerships holding shares of our capital stock or the operating partnership’s debt securities and the partners in such partnerships should consult their tax advisors regarding the U.S. federal income tax consequences to them.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Taxable U.S. Holders of Our Capital Stock </w:t>
      </w:r>
    </w:p>
    <w:p>
      <w:pPr>
        <w:pStyle w:val="TextBody"/>
        <w:bidi w:val="0"/>
        <w:spacing w:before="120" w:after="0"/>
        <w:jc w:val="left"/>
        <w:rPr>
          <w:rFonts w:ascii="Times New Roman" w:hAnsi="Times New Roman"/>
          <w:sz w:val="20"/>
        </w:rPr>
      </w:pPr>
      <w:r>
        <w:rPr>
          <w:rFonts w:ascii="Times New Roman" w:hAnsi="Times New Roman"/>
          <w:b/>
          <w:i/>
          <w:sz w:val="20"/>
        </w:rPr>
        <w:t>Distributions Generally</w:t>
      </w:r>
      <w:r>
        <w:rPr>
          <w:rFonts w:ascii="Times New Roman" w:hAnsi="Times New Roman"/>
          <w:sz w:val="20"/>
        </w:rPr>
        <w:t xml:space="preserve">. Distributions out of our current or accumulated earnings and profits will be treated as dividends and, other than with respect to capital gain dividends and certain amounts which have previously been subject to corporate level tax, as discussed below, will be taxable to our taxable U.S. holders as ordinary income when actually or constructively received. See “—Tax Rates” below. As long as we qualify as a REIT, these distributions will not be eligible for the dividends-received deduction in the case of U.S. holders that are corporations or, except to the extent described in “—Tax Rates” below, the preferential rates on qualified dividend income applicable to non-corporate U.S. holders, including individuals. For purposes of determining whether distributions to holders of our capital stock are out of our current or accumulated earnings and profits, our earnings and profits will be allocated first to our outstanding preferred stock and then to our outstanding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make distributions on our capital stock in excess of our current and accumulated earnings and profits allocable to such stock, these distributions will be treated first as a tax-free return of capital to a U.S. holder to the extent of the U.S. holder’s adjusted tax basis in such shares of stock. This treatment will reduce the U.S. holder’s adjusted tax basis in such shares of stock by such amount, but not below zero. Distributions in excess of our current and accumulated earnings and profits and in excess of a U.S. holder’s adjusted tax basis in its shares will be taxable as capital gain. Such gain will be taxable as long-term capital gain if the shares have been held for more than one year. Dividends we declare in October, November, or December of any year and which are payable to a holder of record on a specified date in any of these months will be treated as both paid by us and received by the holder on December 31 of that year, provided we actually pay the dividend on or before January 31 of the following year. U.S. holders may not include in their own income tax returns any of our net operating losses or capital losses. </w:t>
      </w:r>
    </w:p>
    <w:p>
      <w:pPr>
        <w:pStyle w:val="TextBody"/>
        <w:bidi w:val="0"/>
        <w:spacing w:before="240" w:after="0"/>
        <w:jc w:val="left"/>
        <w:rPr>
          <w:rFonts w:ascii="Times New Roman" w:hAnsi="Times New Roman"/>
          <w:sz w:val="20"/>
        </w:rPr>
      </w:pPr>
      <w:r>
        <w:rPr>
          <w:rFonts w:ascii="Times New Roman" w:hAnsi="Times New Roman"/>
          <w:sz w:val="20"/>
        </w:rPr>
        <w:t xml:space="preserve">U.S. holders that receive taxable stock distributions, including distributions partially payable in our capital stock and partially payable in cash, would be required to include the full amount of the distribution (i.e., the cash and the stock portion) as a dividend (subject to limited exceptions) to the extent of our current and accumulated earnings and profits for U.S. federal income tax purposes, as described above. The amount of any distribution payable in our capital stock generally is equal to the amount of cash that could have been received instead of the capital stock. Depending on the circumstances of a U.S. holder, the tax on the distribution may exceed the amount of the distribution received in cash, in which case such U.S. holder would have to pay the tax using cash from other sources. If a U.S. holder sells the capital stock it received in connection with a taxable stock distribution in order to pay this tax and the proceeds of such sale are less than the amount required to be included in income with respect to the stock portion of the distribution, such U.S. holder could have a capital loss with respect to the stock sale that could not be used to offset such income. A U.S. holder that receives capital stock pursuant to such distribution generally has a tax basis in such capital stock equal to the amount of cash that could have been received instead of such capital stock as described above, and has a holding period in such capital stock that begins on the day immediately following the payment date for the distribution. </w:t>
      </w:r>
    </w:p>
    <w:p>
      <w:pPr>
        <w:pStyle w:val="TextBody"/>
        <w:bidi w:val="0"/>
        <w:spacing w:before="240" w:after="0"/>
        <w:jc w:val="left"/>
        <w:rPr>
          <w:rFonts w:ascii="Times New Roman" w:hAnsi="Times New Roman"/>
          <w:sz w:val="20"/>
        </w:rPr>
      </w:pPr>
      <w:r>
        <w:rPr>
          <w:rFonts w:ascii="Times New Roman" w:hAnsi="Times New Roman"/>
          <w:b/>
          <w:i/>
          <w:sz w:val="20"/>
        </w:rPr>
        <w:t>Capital Gain Dividends</w:t>
      </w:r>
      <w:r>
        <w:rPr>
          <w:rFonts w:ascii="Times New Roman" w:hAnsi="Times New Roman"/>
          <w:sz w:val="20"/>
        </w:rPr>
        <w:t xml:space="preserve">. Dividends that we properly designate as capital gain dividends will generally be taxable to our taxable U.S. holders as a gain from the sale or disposition of a capital asset held for more than one year, to the extent that such gain does not exceed our actual net capital gain for the taxable year, and may not exceed our dividends paid for the taxable year, including dividends paid the following year that are treated as paid in the current year. U.S. holders that are corporations may, however, be required to treat up to 20% of certain capital gain dividends as ordinary income. If we properly designate any portion of a dividend as a capital gain dividend, then, except as otherwise required by law, we presently intend to allocate a portion of the total capital gain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dividends paid or made available to holders of all classes of our capital stock for the year to the holders of each class of our capital stock in proportion to the amount that our total dividends, as determined for U.S. federal income tax purposes, paid or made available to the holders of each such class of our capital stock for the year bears to the total dividends, as determined for U.S. federal income tax purposes, paid or made available to holders of all classes of our capital stock for the year. In addition, except as otherwise required by law, we will make a similar allocation with respect to any undistributed long-term capital gains which are to be included in our stockholders’ long-term capital gains, based on the allocation of the capital gain amount which would have resulted if those undistributed long-term capital gains had been distributed as “capital gain dividends” by us to our stockholders. </w:t>
      </w:r>
    </w:p>
    <w:p>
      <w:pPr>
        <w:pStyle w:val="TextBody"/>
        <w:bidi w:val="0"/>
        <w:spacing w:before="240" w:after="0"/>
        <w:jc w:val="left"/>
        <w:rPr>
          <w:rFonts w:ascii="Times New Roman" w:hAnsi="Times New Roman"/>
          <w:sz w:val="20"/>
        </w:rPr>
      </w:pPr>
      <w:r>
        <w:rPr>
          <w:rFonts w:ascii="Times New Roman" w:hAnsi="Times New Roman"/>
          <w:b/>
          <w:i/>
          <w:sz w:val="20"/>
        </w:rPr>
        <w:t>Retention of Net Capital Gains</w:t>
      </w:r>
      <w:r>
        <w:rPr>
          <w:rFonts w:ascii="Times New Roman" w:hAnsi="Times New Roman"/>
          <w:sz w:val="20"/>
        </w:rPr>
        <w:t xml:space="preserve">. We may elect to retain, rather than distribute as a capital gain dividend, all or a portion of our net capital gains. If we make this election, we would pay tax on our retained net capital gains. In addition, to the extent we so elect, our earnings and profits (determined for U.S. federal income tax purposes) would be adjusted accordingly, and a U.S. holder generally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its pro rata share of our undistributed capital gain in computing its long-term capital gains in its U.S. federal income tax return for its taxable year in which the last day of our taxable year falls, subject to certain limitations as to the amount that is includable;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deemed to have paid its share of the capital gains tax imposed on us on the designated amounts included in the U.S. holder’s income as long-term capital gain;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a credit or refund for the amount of tax deemed paid by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the adjusted tax basis of its capital stock by the difference between the amount of includable gains and the tax deemed to have been paid by 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U.S. holder that is a corporation, appropriately adjust its earnings and profits for the retained capital gains in accordance with Treasury Regulations to be promulgated by the IRS. </w:t>
            </w:r>
          </w:p>
        </w:tc>
      </w:tr>
    </w:tbl>
    <w:p>
      <w:pPr>
        <w:pStyle w:val="TextBody"/>
        <w:bidi w:val="0"/>
        <w:spacing w:before="240" w:after="0"/>
        <w:jc w:val="left"/>
        <w:rPr>
          <w:rFonts w:ascii="Times New Roman" w:hAnsi="Times New Roman"/>
          <w:sz w:val="20"/>
        </w:rPr>
      </w:pPr>
      <w:r>
        <w:rPr>
          <w:rFonts w:ascii="Times New Roman" w:hAnsi="Times New Roman"/>
          <w:b/>
          <w:i/>
          <w:sz w:val="20"/>
        </w:rPr>
        <w:t>Passive Activity Losses and Investment Interest Limitations</w:t>
      </w:r>
      <w:r>
        <w:rPr>
          <w:rFonts w:ascii="Times New Roman" w:hAnsi="Times New Roman"/>
          <w:sz w:val="20"/>
        </w:rPr>
        <w:t xml:space="preserve">. Distributions we make and gain arising from the sale or exchange of our capital stock by a U.S. holder will not be treated as passive activity income. As a result, U.S. holders generally will not be able to apply any “passive losses” against this income or gain. A U.S. holder generally may elect to treat capital gain dividends, capital gains from the disposition of our capital stock and income designated as qualified dividend income, as described in “—Tax Rates” below, as investment income for purposes of computing the investment interest limitation, but in such case, the holder will be taxed at ordinary income rates on such amount. Other distributions made by us, to the extent they do not constitute a return of capital, generally will be treated as investment income for purposes of computing the investment interest limitation. </w:t>
      </w:r>
    </w:p>
    <w:p>
      <w:pPr>
        <w:pStyle w:val="TextBody"/>
        <w:bidi w:val="0"/>
        <w:spacing w:before="240" w:after="0"/>
        <w:jc w:val="left"/>
        <w:rPr>
          <w:rFonts w:ascii="Times New Roman" w:hAnsi="Times New Roman"/>
          <w:sz w:val="20"/>
        </w:rPr>
      </w:pPr>
      <w:r>
        <w:rPr>
          <w:rFonts w:ascii="Times New Roman" w:hAnsi="Times New Roman"/>
          <w:b/>
          <w:i/>
          <w:sz w:val="20"/>
        </w:rPr>
        <w:t>Dispositions of Our Capital Stock</w:t>
      </w:r>
      <w:r>
        <w:rPr>
          <w:rFonts w:ascii="Times New Roman" w:hAnsi="Times New Roman"/>
          <w:sz w:val="20"/>
        </w:rPr>
        <w:t xml:space="preserve">. Except as described below under “—Taxation of Taxable U.S. Holders of Our Capital Stock—Redemption or Repurchase by Us,” if a U.S. holder sells or disposes of shares of our capital stock, it will recognize gain or loss for U.S. federal income tax purposes in an amount equal to the difference between the amount of cash and the fair market value of any property received on the sale or other disposition and the holder’s adjusted tax basis in the shares. This gain or loss, except as provided below, will be long-term capital gain or loss if the holder has held such capital stock for more than one year. However, if a U.S. holder recognizes a loss upon the sale or other disposition of capital stock that it has held for six months or less, after applying certain holding period rules, the loss recognized will be treated as a long-term capital loss to the extent the U.S. holder received distributions from us which were required to be treated as long-term capital gains.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b/>
          <w:i/>
          <w:sz w:val="20"/>
        </w:rPr>
        <w:t>Redemption or Repurchase by Us</w:t>
      </w:r>
      <w:r>
        <w:rPr>
          <w:rFonts w:ascii="Times New Roman" w:hAnsi="Times New Roman"/>
          <w:sz w:val="20"/>
        </w:rPr>
        <w:t xml:space="preserve">. A redemption or repurchase of shares of our capital stock will be treated under Section 302 of the Code as a distribution (and taxable as a dividend to the extent of our current and accumulated earnings and profits as described above under “—Distributions Generally”) unless the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repurchase satisfies one of the tests set forth in Section 302(b) of the Code and is therefore treated as a sale or exchange of the redeemed or repurchased shares. The redemption or repurchase generally will be treated as a sale or exchange if 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“substantially disproportionate” with respect to the U.S.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in a “complete redemption” of the U.S. holder’s stock interest in 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 essentially equivalent to a dividend” with respect to the U.S.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within the meaning of Section 302(b)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any of these tests has been met, shares of our capital stock, including common stock and other equity interests in us, considered to be owned by the U.S. holder by reason of certain constructive ownership rules set forth in the Code, as well as shares of our capital stock actually owned by the U.S. holder, generally must be taken into account. Because the determination as to whether any of the alternative tests of Section 302(b) of the Code will be satisfied with respect to the U.S. holder depends upon the facts and circumstances at the time that the determination must be made, U.S. holders are advised to consult their tax advisors to determine such tax treatment. </w:t>
      </w:r>
    </w:p>
    <w:p>
      <w:pPr>
        <w:pStyle w:val="TextBody"/>
        <w:bidi w:val="0"/>
        <w:spacing w:before="240" w:after="0"/>
        <w:jc w:val="left"/>
        <w:rPr>
          <w:rFonts w:ascii="Times New Roman" w:hAnsi="Times New Roman"/>
          <w:sz w:val="20"/>
        </w:rPr>
      </w:pPr>
      <w:r>
        <w:rPr>
          <w:rFonts w:ascii="Times New Roman" w:hAnsi="Times New Roman"/>
          <w:sz w:val="20"/>
        </w:rPr>
        <w:t xml:space="preserve">If a redemption or repurchase of shares of our capital stock is treated as a distribution, the amount of the distribution will be measured by the amount of cash and the fair market value of any property received. See “—Distributions Generally.” A U.S. holder’s adjusted tax basis in the redeemed or repurchased shares generally will be transferred to the holder’s remaining shares of our capital stock, if any. If a U.S. holder owns no other shares of our capital stock, under certain circumstances, such basis may be transferred to a related person or it may be lost entirely. Prospective investors should consult their tax advisors regarding the U.S. federal income tax consequences of a redemption or repurchase of our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If a redemption or repurchase of shares of our capital stock is not treated as a distribution, it will be treated as a taxable sale or exchange in the manner described under “—Dispositions of Our Capital Stock.” </w:t>
      </w:r>
    </w:p>
    <w:p>
      <w:pPr>
        <w:pStyle w:val="TextBody"/>
        <w:bidi w:val="0"/>
        <w:spacing w:before="240" w:after="0"/>
        <w:jc w:val="left"/>
        <w:rPr>
          <w:rFonts w:ascii="Times New Roman" w:hAnsi="Times New Roman"/>
          <w:sz w:val="20"/>
        </w:rPr>
      </w:pPr>
      <w:r>
        <w:rPr>
          <w:rFonts w:ascii="Times New Roman" w:hAnsi="Times New Roman"/>
          <w:b/>
          <w:i/>
          <w:sz w:val="20"/>
        </w:rPr>
        <w:t>Tax Rates</w:t>
      </w:r>
      <w:r>
        <w:rPr>
          <w:rFonts w:ascii="Times New Roman" w:hAnsi="Times New Roman"/>
          <w:sz w:val="20"/>
        </w:rPr>
        <w:t xml:space="preserve">. The maximum tax rate for non-corporate taxpayers for (1) long-term capital gains, including certain “capital gain dividends,” generally is 20% (although depending on the characteristics of the assets which produced these gains and on designations which we may make, certain capital gain dividends may be taxed at a 25% rate) and (2) “qualified dividend income” generally is 20%. In general, dividends payable by REITs are not eligible for the reduced tax rate on qualified dividend income, except to the extent that certain holding period requirements have been met and the REIT’s dividends are attributable to dividends received from taxable corporations (such as its taxable REIT subsidiaries) or to income that was subject to tax at the corporate/REIT level (for example, if the REIT distributed taxable income that it retained and paid tax on in the prior taxable year). Capital gain dividends will only be eligible for the rates described above to the extent that they are properly designated by the REIT as “capital gain dividends.” U.S. holders that are corporations may be required to treat up to 20% of some capital gain dividends as ordinary income. In addition, non-corporate U.S. holders, including individuals, generally may deduct up to 20% of dividends from a REIT, other than capital gain dividends and dividends treated as qualified dividend income, for purposes of determining their U.S. federal income tax (but not for purposes of the 3.8% Medicare tax), subject to certain holding period requirements and other limitations.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Tax-Exempt Holders of Our Capital Stock </w:t>
      </w:r>
    </w:p>
    <w:p>
      <w:pPr>
        <w:pStyle w:val="TextBody"/>
        <w:bidi w:val="0"/>
        <w:spacing w:before="120" w:after="0"/>
        <w:jc w:val="left"/>
        <w:rPr>
          <w:rFonts w:ascii="Times New Roman" w:hAnsi="Times New Roman"/>
          <w:sz w:val="20"/>
        </w:rPr>
      </w:pPr>
      <w:r>
        <w:rPr>
          <w:rFonts w:ascii="Times New Roman" w:hAnsi="Times New Roman"/>
          <w:sz w:val="20"/>
        </w:rPr>
        <w:t xml:space="preserve">Dividend income from us and gain arising upon a sale of shares of our capital stock generally should not be unrelated business taxable income, or UBTI, to a tax-exempt holder, except as described below. This income or gain will be UBTI, however, to the extent a tax-exempt holder holds its shares as “debt-financed property” within the meaning of the Code. Generally, “debt-financed property” is property the acquisition or holding of which was financed through a borrowing by the tax-exempt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tax-exempt holders that are social clubs, voluntary employee benefit associations or supplemental unemployment benefit trusts exempt from U.S. federal income taxation under Sections 501(c)(7), (c)(9) or (c)(17) of the Code, respectively, income from an investment in our shares will constitute UBTI unless the organization is able to properly claim a deduction for amounts set aside or placed in reserve for specific purposes so as to offset the income generated by its investment in our shares. These prospective investors should consult their tax advisors concerning these “set aside” and reserve requirements.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however, a portion of the dividends paid by a “pension-held REIT” may be treated as UBTI as to certain trusts that hold more than 10%, by value, of the interests in the REIT. A REIT will not be a “pension-held REIT” if it is able to satisfy the “not closely held” requirement without relying on the “look-through” exception with respect to certain trusts or if such REIT is not “predominantly held” by “qualified trusts.” As a result of restrictions on ownership and transfer of our stock contained in our charter, we do not expect to be classified as a “pension-held REIT,” and as a result, the tax treatment described above should be inapplicable to our holders. However, because our stock is (and, we anticipate, will continue to be) publicly traded, we cannot guarantee that this will always be the case.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Non-U.S. Holders of Our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addresses the rules governing U.S. federal income taxation of the purchase, ownership and disposition of our capital stock by non-U.S. holders. These rules are complex, and no attempt is made herein to provide more than a brief summary of such rules. Accordingly, the discussion does not address all aspects of U.S. federal income taxation and does not address other federal, state, local or non-U.S. tax consequences that may be relevant to a non-U.S. holder in light of its particular circumstances. We urge non-U.S. holders to consult their tax advisors to determine the impact of U.S. federal, state, local and non-U.S. income and other tax laws and any applicable tax treaty on the purchase, ownership and disposition of shares of our capital stock, including any reporting requirements. </w:t>
      </w:r>
    </w:p>
    <w:p>
      <w:pPr>
        <w:pStyle w:val="TextBody"/>
        <w:bidi w:val="0"/>
        <w:spacing w:before="240" w:after="0"/>
        <w:jc w:val="left"/>
        <w:rPr>
          <w:rFonts w:ascii="Times New Roman" w:hAnsi="Times New Roman"/>
          <w:sz w:val="20"/>
        </w:rPr>
      </w:pPr>
      <w:r>
        <w:rPr>
          <w:rFonts w:ascii="Times New Roman" w:hAnsi="Times New Roman"/>
          <w:b/>
          <w:i/>
          <w:sz w:val="20"/>
        </w:rPr>
        <w:t>Distributions Generally</w:t>
      </w:r>
      <w:r>
        <w:rPr>
          <w:rFonts w:ascii="Times New Roman" w:hAnsi="Times New Roman"/>
          <w:sz w:val="20"/>
        </w:rPr>
        <w:t xml:space="preserve">. Distributions (including any taxable stock distributions) that are neither attributable to gains from sales or exchanges by us of United States real property interests, or USRPIs, nor designated by us as capital gain dividends (except as described below) will be treated as dividends of ordinary income to the extent that they are made out of our current or accumulated earnings and profits. Such distributions ordinarily will be subject to withholding of U.S. federal income tax at a 30% rate or such lower rate as may be specified by an applicable income tax treaty, unless the distributions are treated as effectively connected with the conduct by the non-U.S. holder of a trade or business within the United States (and, if required by an applicable income tax treaty, the non-U.S. holder maintains a permanent establishment in the United States to which such dividends are attributable). Under certain treaties, however, lower withholding rates generally applicable to dividends do not apply to dividends from a REIT. Certain certification and disclosure requirements must be satisfied for a non-U.S. holder to be exempt from withholding under the effectively connected income exemption. Dividends that are treated as effectively connected with a U.S. trade or business generally will not be subject to withholding but will be subject to U.S. federal income tax on a net basis at the regular rates, in the same manner as dividends paid to U.S. holders are subject to U.S. federal income tax. Any such dividends received by a non-U.S. holder that is a corporation may also be subject to an additional branch profits tax at a 30% rate (applicable after deducting U.S. federal income taxes paid on such effectively connected income) or such lower rate as may be specified by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below, we expect to withhold U.S. federal income tax at the rate of 30% on any distributions made to a non-U.S. 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lower treaty rate applies and the non-U.S. holder furnishes an IRS Form W-8BEN or W-8BEN-E (or other applicable documentation) evidencing eligibility for that reduced treaty rate;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furnishes an IRS Form W-8ECI (or other applicable documentation) claiming that the distribution is income effectively connected with the non-U.S. holder’s trade or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Distributions in excess of our current and accumulated earnings and profits will not be taxable to a non-U.S. holder to the extent that such distributions do not exceed the adjusted tax basis of the holder’s capital stock, but rather will reduce the adjusted tax basis of such stock. To the extent that such distributions exceed the non-U.S. holder’s adjusted tax basis in such capital stock, they generally will give rise to gain from the sale or exchange of such stock, the tax treatment of which is described below. However, such excess distributions may be treated as dividend income for certain non-U.S. holders. For withholding purposes, we expect to treat all distributions as made out of our current or accumulated earnings and profits. However, amounts withheld may be refundable if it is subsequently determined that the distribution was, in fact, in excess of our current and accumulated earnings and profits, provided that certain conditions are met. </w:t>
      </w:r>
    </w:p>
    <w:p>
      <w:pPr>
        <w:pStyle w:val="TextBody"/>
        <w:bidi w:val="0"/>
        <w:spacing w:before="240" w:after="0"/>
        <w:jc w:val="left"/>
        <w:rPr>
          <w:rFonts w:ascii="Times New Roman" w:hAnsi="Times New Roman"/>
          <w:sz w:val="20"/>
        </w:rPr>
      </w:pPr>
      <w:r>
        <w:rPr>
          <w:rFonts w:ascii="Times New Roman" w:hAnsi="Times New Roman"/>
          <w:b/>
          <w:i/>
          <w:sz w:val="20"/>
        </w:rPr>
        <w:t>Capital Gain Dividends and Distributions Attributable to a Sale or Exchange of United States Real Property Interests</w:t>
      </w:r>
      <w:r>
        <w:rPr>
          <w:rFonts w:ascii="Times New Roman" w:hAnsi="Times New Roman"/>
          <w:sz w:val="20"/>
        </w:rPr>
        <w:t xml:space="preserve">. Distributions to a non-U.S. holder that we properly designate as capital gain dividends, other than those arising from the disposition of a USRPI, generally should not be subject to U.S. federal income taxation,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investment in our capital stock is treated as effectively connected with the conduct by the non-U.S. holder of a trade or business within the United States (and, if required by an applicable income tax treaty, the non-U.S. holder maintains a permanent establishment in the United States to which such dividends are attributable), in which case the non-U.S. holder will be subject to the same treatment as U.S. holders with respect to such gain, except that a non-U.S. holder that is a corporation may also be subject to a branch profits tax of up to 30%, as discussed above;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who is present in the United States for 183 days or more during the taxable year and certain other conditions are met, in which case the non-U.S. holder will be subject to U.S. federal income tax at a rate of 30% on the non-U.S. holder’s capital gains (or such lower rate specified by an applicable income tax treaty), which may be offset by U.S. source capital losses of such non-U.S. holder (even though the individual is not considered a resident of the United States), provided the non-U.S. holder has timely filed U.S. federal income tax returns with respect to such losses.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Foreign Investment in Real Property Tax Act, which is referred to as “FIRPTA,” distributions to a non-U.S. holder that are attributable to gain from sales or exchanges by us of USRPIs, whether or not designated as capital gain dividends, will cause the non-U.S. holder to be treated as recognizing such gain as income effectively connected with a U.S. trade or business. Non-U.S. holders generally would be taxed at the regular rates applicable to U.S. holders, subject to any applicable alternative minimum tax and a special alternative minimum tax in the case of nonresident alien individuals. We also will be required to withhold and to remit to the IRS 21% of any distribution to non-U.S. holders attributable to gain from sales or exchanges by us of USRPIs. Distributions subject to FIRPTA may also be subject to a 30% branch profits tax in the hands of a non-U.S. holder that is a corporation. The amount withheld is creditable against the non-U.S. holder’s U.S. federal income tax liability. However, any distribution with respect to any class of stock that is “regularly traded,” as defined by applicable Treasury Regulations, on an established securities market located in the United States is not subject to FIRPTA, and therefore, not subject to the 21% U.S. withholding tax described above, if the non-U.S. holder did not own more than 10% of such class of stock at any time during the one-year period ending on the date of the distribution. Instead, such distributions generally will be treated as ordinary dividend distributions and subject to withholding in the manner described above with respect to ordinary dividends. In addition, distributions to certain non-U.S. publicly traded shareholders that meet certain record-keeping and other requirements (“qualified shareholders”) are exempt from FIRPTA, except to the extent owners of such qualified shareholders that are not also qualified shareholders own, actually or constructively, more than 10% of our capital stock. Furthermore, distributions to certain “qualified foreign pension funds” or entities all of the interests of which are held by such “qualified foreign pension funds” are exempt from FIRPTA. Non-U.S. holders should consult their tax advisors regarding the application of these rules. </w:t>
      </w:r>
    </w:p>
    <w:p>
      <w:pPr>
        <w:pStyle w:val="TextBody"/>
        <w:bidi w:val="0"/>
        <w:spacing w:before="240" w:after="0"/>
        <w:jc w:val="left"/>
        <w:rPr>
          <w:rFonts w:ascii="Times New Roman" w:hAnsi="Times New Roman"/>
          <w:sz w:val="20"/>
        </w:rPr>
      </w:pPr>
      <w:r>
        <w:rPr>
          <w:rFonts w:ascii="Times New Roman" w:hAnsi="Times New Roman"/>
          <w:b/>
          <w:i/>
          <w:sz w:val="20"/>
        </w:rPr>
        <w:t>Retention of Net Capital Gains</w:t>
      </w:r>
      <w:r>
        <w:rPr>
          <w:rFonts w:ascii="Times New Roman" w:hAnsi="Times New Roman"/>
          <w:sz w:val="20"/>
        </w:rPr>
        <w:t xml:space="preserve">. Although the law is not clear on the matter, it appears that amounts we designate as retained net capital gains in respect of our capital stock should be treated with respect to non-U.S. holders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actual distributions of capital gain dividends. Under this approach, the non-U.S. holders may be able to offset as a credit against their U.S. federal income tax liability their proportionate share of the tax paid by us on such retained net capital gains and to receive from the IRS a refund to the extent their proportionate share of such tax paid by us exceeds their actual U.S. federal income tax liability. If we were to designate any portion of our net capital gain as retained net capital gain, non-U.S. holders should consult their tax advisors regarding the taxation of such retained net capital gain. </w:t>
      </w:r>
    </w:p>
    <w:p>
      <w:pPr>
        <w:pStyle w:val="TextBody"/>
        <w:bidi w:val="0"/>
        <w:spacing w:before="240" w:after="0"/>
        <w:jc w:val="left"/>
        <w:rPr>
          <w:rFonts w:ascii="Times New Roman" w:hAnsi="Times New Roman"/>
          <w:sz w:val="20"/>
        </w:rPr>
      </w:pPr>
      <w:r>
        <w:rPr>
          <w:rFonts w:ascii="Times New Roman" w:hAnsi="Times New Roman"/>
          <w:b/>
          <w:i/>
          <w:sz w:val="20"/>
        </w:rPr>
        <w:t>Sale of Our Capital Stock</w:t>
      </w:r>
      <w:r>
        <w:rPr>
          <w:rFonts w:ascii="Times New Roman" w:hAnsi="Times New Roman"/>
          <w:sz w:val="20"/>
        </w:rPr>
        <w:t xml:space="preserve">. Except as described below under “—Redemption or Repurchase by Us,” gain realized by a non-U.S. holder upon the sale, exchange or other taxable disposition of our capital stock generally will not be subject to U.S. federal income tax unless such stock constitutes a USRPI. In general, stock of a domestic corporation that constitutes a “United States real property holding corporation,” or USRPHC, will constitute a USRPI. We believe that we are a USRPHC. Our capital stock will not, however, constitute a USRPI so long as we are a “domestically controlled qualified investment entity.” A “domestically controlled qualified investment entity” includes a REIT in which at all times during a five-year testing period less than 50% in value of its stock is held directly or indirectly by non-United States persons, subject to certain ownership rules. For purposes of determining whether a REIT is a “domestically controlled qualified investment entity,” ownership generally will be determined by looking through certain pass-through entities and certain other entities. Notwithstanding the foregoing ownership rules, a person who at all applicable times holds less than 5% of a class of a REIT’s stock that is “regularly traded” on an established securities market in the United States will be treated as a United States person unless the REIT has actual knowledge that such person (i) is not a United States person or (ii) in certain cases, is a foreign-controlled entity. We believe, but cannot guarantee, that we are a “domestically controlled qualified investment entity.” Because our stock is (and, we anticipate, will continue to be) publicly traded, no assurance can be given that we will continue to be a “domestically controlled qualified investment entity.” </w:t>
      </w:r>
    </w:p>
    <w:p>
      <w:pPr>
        <w:pStyle w:val="TextBody"/>
        <w:bidi w:val="0"/>
        <w:spacing w:before="240" w:after="0"/>
        <w:jc w:val="left"/>
        <w:rPr>
          <w:rFonts w:ascii="Times New Roman" w:hAnsi="Times New Roman"/>
          <w:sz w:val="20"/>
        </w:rPr>
      </w:pPr>
      <w:r>
        <w:rPr>
          <w:rFonts w:ascii="Times New Roman" w:hAnsi="Times New Roman"/>
          <w:sz w:val="20"/>
        </w:rPr>
        <w:t xml:space="preserve">Even if we do not qualify as a “domestically controlled qualified investment entity” at the time a non-U.S. holder sells our capital stock, gain realized from the sale or other taxable disposition by a non-U.S. holder of such capital stock would not be subject to U.S. federal income tax under FIRPTA as a sale of a USRPI if: </w:t>
      </w:r>
    </w:p>
    <w:p>
      <w:pPr>
        <w:pStyle w:val="TextBody"/>
        <w:bidi w:val="0"/>
        <w:spacing w:before="120" w:after="0"/>
        <w:jc w:val="left"/>
        <w:rPr>
          <w:rFonts w:ascii="Times New Roman" w:hAnsi="Times New Roman"/>
          <w:sz w:val="20"/>
        </w:rPr>
      </w:pPr>
      <w:r>
        <w:rPr>
          <w:rFonts w:ascii="Times New Roman" w:hAnsi="Times New Roman"/>
          <w:sz w:val="20"/>
        </w:rPr>
        <w:t xml:space="preserve">(1) such class of capital stock is “regularly traded,” as defined by applicable Treasury Regulations, on an established securities market such as the NYSE; and </w:t>
      </w:r>
    </w:p>
    <w:p>
      <w:pPr>
        <w:pStyle w:val="TextBody"/>
        <w:bidi w:val="0"/>
        <w:spacing w:before="120" w:after="0"/>
        <w:jc w:val="left"/>
        <w:rPr>
          <w:rFonts w:ascii="Times New Roman" w:hAnsi="Times New Roman"/>
          <w:sz w:val="20"/>
        </w:rPr>
      </w:pPr>
      <w:r>
        <w:rPr>
          <w:rFonts w:ascii="Times New Roman" w:hAnsi="Times New Roman"/>
          <w:sz w:val="20"/>
        </w:rPr>
        <w:t xml:space="preserve">(2) such non-U.S. holder owned, actually and constructively, 10% or less of such class of capital stock throughout the shorter of the five-year period ending on the date of the sale or other taxable disposition or the non-U.S. holder’s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In addition, dispositions of our capital stock by qualified shareholders are exempt from FIRPTA, except to the extent owners of such qualified shareholders that are not also qualified shareholders own, actually or constructively, more than 10% of our capital stock. Furthermore, dispositions of our capital stock by certain “qualified foreign pension funds” or entities all of the interests of which are held by such “qualified foreign pension funds” are exempt from FIRPTA. Non-U.S. holders should consult their tax advisors regarding the application of these rules.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gain from the sale, exchange or other taxable disposition of our capital stock not otherwise subject to FIRPTA will be taxable to a non-U.S. holder if either (a) the investment in our capital stock is treated as effectively connected with the conduct by the non-U.S. holder of a trade or business within the United States (and, if required by an applicable income tax treaty, the non-U.S. holder maintains a permanent establishment in the United States to which such gain is attributable), in which case the non-U.S. holder will be subject to the same treatment as U.S. holders with respect to such gain, except that a non-U.S. holder that is a corporation may also be subject to the 30% branch profits tax (or such lower rate as may be specified by an applicable income tax treaty) on such gain, as adjusted for certain items, or (b) the non-U.S. holder is a nonresident alien individual who is present in the United States for 183 days or more during the taxable year and certain other conditions are met, in which case the non-U.S. holder will be subject to a 30% tax on the non-U.S. holder’s capital gains (or such lower rate specified by an applicable income tax treaty), which may be offset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source capital losses of the non-U.S. holder (even though the individual is not considered a resident of the United States), provided the non-U.S. holder has timely filed U.S. federal income tax returns with respect to such losses. In addition, even if we are a domestically controlled qualified investment entity, upon disposition of our capital stock, a non-U.S. holder may be treated as having gain from the sale or other taxable disposition of a USRPI if the non-U.S. holder (1) disposes of such stock within a 30-day period preceding the ex-dividend date of a distribution, any portion of which, but for the disposition, would have been treated as gain from the sale or exchange of a USRPI and (2) acquires, or enters into a contract or option to acquire, or is deemed to acquire, other shares of that stock during the 61-day period beginning with the first day of the 30-day period described in clause (1), unless such class of stock is “regularly traded” and the non-U.S. holder did not own more than 10% of such class of stock at any time during the one-year period ending on the date of the distribution described in clause (1). </w:t>
      </w:r>
    </w:p>
    <w:p>
      <w:pPr>
        <w:pStyle w:val="TextBody"/>
        <w:bidi w:val="0"/>
        <w:spacing w:before="240" w:after="0"/>
        <w:jc w:val="left"/>
        <w:rPr>
          <w:rFonts w:ascii="Times New Roman" w:hAnsi="Times New Roman"/>
          <w:sz w:val="20"/>
        </w:rPr>
      </w:pPr>
      <w:r>
        <w:rPr>
          <w:rFonts w:ascii="Times New Roman" w:hAnsi="Times New Roman"/>
          <w:sz w:val="20"/>
        </w:rPr>
        <w:t xml:space="preserve">If gain on the sale, exchange or other taxable disposition of our capital stock were subject to taxation under FIRPTA, the non-U.S. holder would be required to file a U.S. federal income tax return and would be subject to regular U.S. federal income tax with respect to such gain in the same manner as a taxable U.S. holder (subject to any applicable alternative minimum tax and a special alternative minimum tax in the case of nonresident alien individuals). In addition, if the sale, exchange or other taxable disposition of our capital stock were subject to taxation under FIRPTA, and if shares of the applicable class of our capital stock were not “regularly traded” on an established securities market, the purchaser of such capital stock generally would be required to withhold and remit to the IRS 15% of the purchase price. </w:t>
      </w:r>
    </w:p>
    <w:p>
      <w:pPr>
        <w:pStyle w:val="TextBody"/>
        <w:bidi w:val="0"/>
        <w:spacing w:before="240" w:after="0"/>
        <w:jc w:val="left"/>
        <w:rPr>
          <w:rFonts w:ascii="Times New Roman" w:hAnsi="Times New Roman"/>
          <w:sz w:val="20"/>
        </w:rPr>
      </w:pPr>
      <w:r>
        <w:rPr>
          <w:rFonts w:ascii="Times New Roman" w:hAnsi="Times New Roman"/>
          <w:b/>
          <w:i/>
          <w:sz w:val="20"/>
        </w:rPr>
        <w:t>Redemption or Repurchase by Us</w:t>
      </w:r>
      <w:r>
        <w:rPr>
          <w:rFonts w:ascii="Times New Roman" w:hAnsi="Times New Roman"/>
          <w:sz w:val="20"/>
        </w:rPr>
        <w:t xml:space="preserve">. A redemption or repurchase of shares of our capital stock will be treated under Section 302 of the Code as a distribution (and taxable as a dividend to the extent of our current and accumulated earnings and profits) unless the redemption or repurchase satisfies one of the tests set forth in Section 302(b) of the Code and is therefore treated as a sale or exchange of the redeemed or repurchased shares. See “—Taxation of Taxable U.S. Holders of Our Capital Stock—Redemption or Repurchase by Us.” Qualified shareholders and their owners may be subject to different rules, and should consult their tax advisors regarding the application of such rules. If the redemption or repurchase of shares is treated as a distribution, the amount of the distribution will be measured by the amount of cash and the fair market value of any property received. See “—Taxation of Non-U.S. Holders of Our Capital Stock—Distributions Generally” above. If the redemption or repurchase of shares is not treated as a distribution, it will be treated as a taxable sale or exchange in the manner described above under “—Sale of Our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Holders of the Operating Partnership’s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describes certain material U.S. federal income tax consequences of purchasing, owning and disposing of debt securities issued by the operating partnership. This discussion assumes the debt securities will be issued with less than a statutory de minimis amount of original issue discount for U.S. federal income tax purposes. In addition, this discussion is limited to persons purchasing the debt securities for cash at original issue and at their original “issue price” within the meaning of Section 1273 of the Code (i.e., the first price at which a substantial amount of the debt securities is sold to the public for cash).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Holders </w:t>
      </w:r>
    </w:p>
    <w:p>
      <w:pPr>
        <w:pStyle w:val="TextBody"/>
        <w:bidi w:val="0"/>
        <w:spacing w:before="120" w:after="0"/>
        <w:jc w:val="left"/>
        <w:rPr>
          <w:rFonts w:ascii="Times New Roman" w:hAnsi="Times New Roman"/>
          <w:sz w:val="20"/>
        </w:rPr>
      </w:pPr>
      <w:r>
        <w:rPr>
          <w:rFonts w:ascii="Times New Roman" w:hAnsi="Times New Roman"/>
          <w:b/>
          <w:i/>
          <w:sz w:val="20"/>
        </w:rPr>
        <w:t>Payments of Interest</w:t>
      </w:r>
      <w:r>
        <w:rPr>
          <w:rFonts w:ascii="Times New Roman" w:hAnsi="Times New Roman"/>
          <w:sz w:val="20"/>
        </w:rPr>
        <w:t xml:space="preserve">. Interest on a debt security generally will be taxable to a U.S. holder as ordinary income at the time such interest is received or accrued, in accordance with such U.S. holder’s method of accounting for U.S. federal income tax purposes. </w:t>
      </w:r>
    </w:p>
    <w:p>
      <w:pPr>
        <w:pStyle w:val="TextBody"/>
        <w:bidi w:val="0"/>
        <w:spacing w:before="240" w:after="0"/>
        <w:jc w:val="left"/>
        <w:rPr>
          <w:rFonts w:ascii="Times New Roman" w:hAnsi="Times New Roman"/>
          <w:sz w:val="20"/>
        </w:rPr>
      </w:pPr>
      <w:r>
        <w:rPr>
          <w:rFonts w:ascii="Times New Roman" w:hAnsi="Times New Roman"/>
          <w:b/>
          <w:i/>
          <w:sz w:val="20"/>
        </w:rPr>
        <w:t>Sale or Other Taxable Disposition</w:t>
      </w:r>
      <w:r>
        <w:rPr>
          <w:rFonts w:ascii="Times New Roman" w:hAnsi="Times New Roman"/>
          <w:sz w:val="20"/>
        </w:rPr>
        <w:t xml:space="preserve">. A U.S. holder will recognize gain or loss on the sale, exchange, redemption, retirement or other taxable disposition of a debt security. The amount of such gain or loss generally will be equal to the difference between the amount received for the debt security in cash or other property valued at fair market value (less amounts attributable to any accrued but unpaid interest, which will be taxable as interest to the extent not previously included in income) and the U.S. holder’s adjusted tax basis in the debt security. A U.S.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adjusted tax basis in a debt security generally will be equal to the amount the U.S. holder paid for the debt security. Any gain or loss generally will be capital gain or loss, and will be long-term capital gain or loss if the U.S. holder has held the debt security for more than one year at the time of such sale or other taxable disposition. Otherwise, such gain or loss will be short-term capital gain or loss. Long-term capital gains recognized by certain non-corporate U.S. holders, including individuals, generally will be taxable at reduced rates. The deductibility of capital losses is subject to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b/>
          <w:i/>
          <w:sz w:val="20"/>
        </w:rPr>
        <w:t>Payments of Interest</w:t>
      </w:r>
      <w:r>
        <w:rPr>
          <w:rFonts w:ascii="Times New Roman" w:hAnsi="Times New Roman"/>
          <w:sz w:val="20"/>
        </w:rPr>
        <w:t xml:space="preserve">. Interest paid on a debt security to a non-U.S. holder that is not effectively connected with the non-U.S. holder’s conduct of a trade or business within the United States generally will not be subject to U.S. federal income tax or withholding,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does not, actually or constructively, own 10% or more of the operating partnership’s capital or profits;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controlled foreign corporation related to the operating partnership through actual or constructive stock ownership;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(1) the non-U.S. holder certifies in a statement provided to the applicable withholding agent under penalties of perjury that it is not a United States person and provides its name and address; (2) a securities clearing organization, bank or other financial institution that holds customers’ securities in the ordinary course of its trade or business and holds the debt security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the applicable withholding agent with a copy of such statement; or (3) the non-U.S. holder holds its debt security directly through a “qualified intermediary” (within the meaning of the applicable Treasury Regulations) and certain conditions are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non-U.S. holder does not satisfy the requirements above, such non-U.S. holder will be subject to withholding tax of 30%, subject to a reduction in or an exemption from withholding on such interest as a result of an applicable tax treaty. To claim such entitlement,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If interest paid to a non-U.S. holder is effectively connected with the non-U.S. holder’s conduct of a trade or business within the United States (and, if required by an applicable income tax treaty, the non-U.S. holder 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W-8ECI, certifying that interest paid on a debt security is not subject to withholding tax because it is effectively connected with the conduct by the non-U.S. holder of a trade or business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Any such effectively connected interest generally will be subject to U.S. federal income tax at the regular rates. A non-U.S. holder that is a corporation may also be subject to a branch profits tax at a rate of 30% (or such lower rate specified by an applicable income tax treaty) on such effectively connected interest,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applicable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tax treaty,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before="240" w:after="0"/>
        <w:jc w:val="left"/>
        <w:rPr>
          <w:rFonts w:ascii="Times New Roman" w:hAnsi="Times New Roman"/>
          <w:sz w:val="20"/>
        </w:rPr>
      </w:pPr>
      <w:r>
        <w:rPr>
          <w:rFonts w:ascii="Times New Roman" w:hAnsi="Times New Roman"/>
          <w:b/>
          <w:i/>
          <w:sz w:val="20"/>
        </w:rPr>
        <w:t>Sale or Other Taxable Disposition</w:t>
      </w:r>
      <w:r>
        <w:rPr>
          <w:rFonts w:ascii="Times New Roman" w:hAnsi="Times New Roman"/>
          <w:sz w:val="20"/>
        </w:rPr>
        <w:t xml:space="preserve">. A non-U.S. holder will not be subject to U.S. federal income tax on any gain realized upon the sale, exchange, redemption, retirement or other taxable disposition of a debt security (such amount excludes any amount allocable to accrued and unpaid interest, which generally will be treated as interest and may be subject to the rules discussed above in “—Taxation of Holders of the Operating Partnership’s Debt Securities—Non-U.S. Holders—Payments of Interest”)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rate of 30% (or such lower rate specified by an applicable income tax treaty) on gain realized upon the sale or other taxable disposition of a debt security,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any applicable income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b/>
          <w:i/>
          <w:sz w:val="20"/>
        </w:rPr>
        <w:t>U.S.</w:t>
      </w:r>
      <w:r>
        <w:rPr>
          <w:rFonts w:ascii="Times New Roman" w:hAnsi="Times New Roman"/>
          <w:sz w:val="20"/>
        </w:rPr>
        <w:t xml:space="preserve"> </w:t>
      </w:r>
      <w:r>
        <w:rPr>
          <w:rFonts w:ascii="Times New Roman" w:hAnsi="Times New Roman"/>
          <w:b/>
          <w:i/>
          <w:sz w:val="20"/>
        </w:rPr>
        <w:t>Holders</w:t>
      </w:r>
      <w:r>
        <w:rPr>
          <w:rFonts w:ascii="Times New Roman" w:hAnsi="Times New Roman"/>
          <w:sz w:val="20"/>
        </w:rPr>
        <w:t xml:space="preserve">. A U.S. holder may be subject to information reporting and backup withholding when such holder receives payments on our capital stock or the operating partnership’s debt securities or proceeds from the sale or other taxable disposition of such stock or debt securities (including a redemption or retirement of a debt security). Certain U.S. holders are exempt from backup withholding, including corporations and certain tax-exempt organizations. A U.S. holder will be subject to backup withholding if such holder is not otherwise exempt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fails to furnish the holder’s taxpayer identification number, which for an individual is ordinarily his or her social security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furnishes an incorrect taxpayer identification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withholding agent is notified by the IRS that the holder previously failed to properly report payments of interest or dividends;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fails to certify under penalties of perjury that the holder has furnished a correct taxpayer identification number and that the IRS has not notified the holder that the holder is subject to backup withholding.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Non-U.S. Holders</w:t>
      </w:r>
      <w:r>
        <w:rPr>
          <w:rFonts w:ascii="Times New Roman" w:hAnsi="Times New Roman"/>
          <w:sz w:val="20"/>
        </w:rPr>
        <w:t xml:space="preserve">. Payments of dividends on our capital stock or interest on the operating partnership’s debt securities generally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capital stock or interest on the operating partnership’s debt securities paid to the non-U.S. holder, regardless of whether such distributions constitute a dividend or whether any tax was actually withheld. In addition, proceeds of the sale or other taxable disposition of such stock or debt securities (including a retirement or redemption of a debt security)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such stock or debt securities conducted through a non-U.S. office of a non-U.S. broker generally will not be subject to backup withholding or information reporting. </w:t>
      </w:r>
    </w:p>
    <w:p>
      <w:pPr>
        <w:pStyle w:val="TextBody"/>
        <w:bidi w:val="0"/>
        <w:spacing w:before="240" w:after="0"/>
        <w:jc w:val="left"/>
        <w:rPr>
          <w:rFonts w:ascii="Times New Roman" w:hAnsi="Times New Roman"/>
          <w:sz w:val="20"/>
        </w:rPr>
      </w:pPr>
      <w:r>
        <w:rPr>
          <w:rFonts w:ascii="Times New Roman" w:hAnsi="Times New Roman"/>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Medicare Contribution Tax on Unearned Income </w:t>
      </w:r>
    </w:p>
    <w:p>
      <w:pPr>
        <w:pStyle w:val="TextBody"/>
        <w:bidi w:val="0"/>
        <w:spacing w:before="120" w:after="0"/>
        <w:jc w:val="left"/>
        <w:rPr>
          <w:rFonts w:ascii="Times New Roman" w:hAnsi="Times New Roman"/>
          <w:sz w:val="20"/>
        </w:rPr>
      </w:pPr>
      <w:r>
        <w:rPr>
          <w:rFonts w:ascii="Times New Roman" w:hAnsi="Times New Roman"/>
          <w:sz w:val="20"/>
        </w:rPr>
        <w:t xml:space="preserve">Certain U.S. holders that are individuals, estates or trusts are required to pay an additional 3.8% tax on, among other things, dividends on stock, interest on debt obligations, and capital gains from the sale or other disposition of stock or debt obligations, subject to certain limitations. U.S. holders should consult their tax advisors regarding the effect, if any, of these rules on their ownership and disposition of our capital stock or the operating partnership’s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Tax on Payments Made to Foreign Accounts </w:t>
      </w:r>
    </w:p>
    <w:p>
      <w:pPr>
        <w:pStyle w:val="TextBody"/>
        <w:bidi w:val="0"/>
        <w:spacing w:before="120" w:after="0"/>
        <w:jc w:val="left"/>
        <w:rPr>
          <w:rFonts w:ascii="Times New Roman" w:hAnsi="Times New Roman"/>
          <w:sz w:val="20"/>
        </w:rPr>
      </w:pPr>
      <w:r>
        <w:rPr>
          <w:rFonts w:ascii="Times New Roman" w:hAnsi="Times New Roman"/>
          <w:sz w:val="20"/>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our capital stock, interest on the operating partnership’s debt securities, or (subject to the proposed Treasury Regulations discussed below) gross proceeds from the sale or other disposition of our capital stock or the operating partnership’s debt securities, in each case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Under the applicable Treasury Regulations and administrative guidance, withholding under FATCA generally applies to payments of dividends on our capital stock or interest on the operating partnership’s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withholding under FATCA would have applied also to payments of gross proceeds from the sale or other disposition of stock or debt securities on or after January 1, 2019, proposed Treasury Regulations eliminate FATCA withholding on payments of gross proceeds entirely. Taxpayers generally may rely on these proposed Treasury Regulations until final Treasury Regulations are issued. Because we may not know the extent to which a distribution is a dividend for U.S. federal income tax purposes at the time it is made, for purposes of these withholding rules we may treat the entire distribution as a dividend.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potential application of withholding under FATCA to their investment in our capital stock or the operating partnership’s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Other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State, local and non-U.S. income tax laws may differ substantially from the corresponding U.S. federal income tax laws, and this discussion does not purport to describe any aspect of the tax laws of any state, local or non-U.S. jurisdiction, or any U.S. federal tax other than income tax. You should consult your tax advisors regarding the effect of state, local and non-U.S. tax laws with respect to our tax treatment as a REIT and on an investment in our capital stock or our operating partnership’s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914399_16"/>
      <w:bookmarkEnd w:id="30"/>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If the registration statement of which this prospectus forms a part is used by selling securityholders for the resale of any securities registered thereunder pursuant to a registration rights agreement to be entered into by us with such selling securityholders or otherwise, information about such selling securityholders, their beneficial ownership of the securities and their relationship with us will be set forth in a prospectus supplement, in a post-effective amendment, or in filings we make with the SEC under the Exchange Act that are incorporated by reference to such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x914399_17"/>
      <w:bookmarkEnd w:id="3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or selling securityholders, may sell the securities domestically or abroad to one or more underwriters for public offering and sale by them or may sell the securities to investors directly or through dealers or agents, or through a combination of methods. Any underwriter, dealer or agent involved in the offer and sale of the securities will be named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Underwriters may offer and sell the securities at: (i) a fixed price or prices, which may be changed, (ii) market prices prevailing at the time of sale, (iii) prices related to the prevailing market prices at the time of sale or (iv) negotiated prices. We also may, from time to time, authorize underwriters acting as our agents to offer and sell the securities upon the terms and conditions as are set forth in the applicable prospectus supplement. In connection with the sale of securities, underwriters may be deemed to have received compensation from us in the form of underwriting discounts or commissions and may also receive commissions from purchasers of securities for whom they may act as agent. Underwriters may sell securities to or through dealers, and the dealers may receive compensation in the form of discounts, concessions or commissions from the underwriters and/or commissions from the purchasers for whom they may act as agent. </w:t>
      </w:r>
    </w:p>
    <w:p>
      <w:pPr>
        <w:pStyle w:val="TextBody"/>
        <w:bidi w:val="0"/>
        <w:spacing w:before="240" w:after="0"/>
        <w:jc w:val="left"/>
        <w:rPr>
          <w:rFonts w:ascii="Times New Roman" w:hAnsi="Times New Roman"/>
          <w:sz w:val="20"/>
        </w:rPr>
      </w:pPr>
      <w:r>
        <w:rPr>
          <w:rFonts w:ascii="Times New Roman" w:hAnsi="Times New Roman"/>
          <w:sz w:val="20"/>
        </w:rPr>
        <w:t xml:space="preserve">Any underwriting compensation paid by us to underwriters, dealers or agents in connection with the offering of securities, and any discounts, concessions or commissions allowed by underwriters to participating dealers, will be set forth in the applicable prospectus supplement. Dealers and agents participating in the distribution of the securities may be deemed to be underwriters, and any discounts and commissions received by them and any profit realized by them on resale of the securities may be deemed to be underwriting discounts and commissions under the Securities Act. Underwriters, dealers and agents may be entitled, under agreements entered into with us and our operating partnership, to indemnification against and contribution toward civil liabilities, including liabilities under the Securities Act. We will describe any indemnification agreement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we specify otherwise in the applicable prospectus supplement, any series of securities issued hereunder will be a new issue with no established trading market (other than the common stock, which is listed on the NYSE). If the company sells any shares of the common stock pursuant to a prospectus supplement, such shares will be listed on the NYSE, subject to official notice of issuance. We may elect to list any other securities issued hereunder on any exchange, but we are not obligated to do so. Any underwriters or agents to or through whom such securities are sold by us or our operating partnership for public offering and sale may make a market in such securities, but such underwriters or agents will not be obligated to do so and may discontinue any market making at any time without notice. We cannot assure you as to the liquidity of the trading market for any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If indicated in the applicable prospectus supplement, we may authorize underwriters or other persons acting as our agents to solicit offers by institutions or other suitable purchasers to purchase the securities from us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 </w:t>
      </w:r>
    </w:p>
    <w:p>
      <w:pPr>
        <w:pStyle w:val="TextBody"/>
        <w:bidi w:val="0"/>
        <w:spacing w:before="240" w:after="0"/>
        <w:jc w:val="left"/>
        <w:rPr>
          <w:rFonts w:ascii="Times New Roman" w:hAnsi="Times New Roman"/>
          <w:sz w:val="20"/>
        </w:rPr>
      </w:pPr>
      <w:r>
        <w:rPr>
          <w:rFonts w:ascii="Times New Roman" w:hAnsi="Times New Roman"/>
          <w:sz w:val="20"/>
        </w:rPr>
        <w:t xml:space="preserve">To facilitate the offering of the securities, certain persons participating in the offering may engage in transactions that stabilize, maintain, or otherwise affect the price of the securities. This may include over-allotments or short sales of the securities, which involves the sale by persons participating in the offering of more securities than we sold to them. In these circumstances, these persons would cover the over-allotments or short positions by making purchases in the open market or by exercising their over-allotment option. In addition, these persons may stabilize or maintain the price of the securities by bidding for or purchasing securities in the open market or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dealers and agents and their affiliates may be customers of, engage in transactions with and perform services for us and our operating partnership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x914399_18"/>
      <w:bookmarkEnd w:id="3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Venable LLP, Baltimore, Maryland, has issued an opinion to us regarding certain matters of Maryland law, including the validity of the securities covered by this prospectus. Latham &amp; Watkins LLP, Los Angeles, California has issued an opinion to us regarding certain matters with respect to the validity of the debt securities and guarantees covered by this prospectus and an opinion regarding certain tax matters described under “United States Federal Income Tax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x914399_19"/>
      <w:bookmarkEnd w:id="3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Digital Realty Trust, Inc. and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Digital Realty Trust, L.P. and subsidiaries as of December 31, 2025 and 2024, and for each of the years in the three-year period ended December 31, 2025, have been incorporated by reference herein in reliance upon the report of KPMG LLP, independent registered public accounting firm,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666875" cy="619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2"/>
                    <a:stretch>
                      <a:fillRect/>
                    </a:stretch>
                  </pic:blipFill>
                  <pic:spPr bwMode="auto">
                    <a:xfrm>
                      <a:off x="0" y="0"/>
                      <a:ext cx="1666875" cy="619125"/>
                    </a:xfrm>
                    <a:prstGeom prst="rect">
                      <a:avLst/>
                    </a:prstGeom>
                  </pic:spPr>
                </pic:pic>
              </a:graphicData>
            </a:graphic>
          </wp:inline>
        </w:drawing>
      </w:r>
      <w:r>
        <w:rPr/>
        <w:t xml:space="preserve"> </w:t>
      </w:r>
    </w:p>
    <w:p>
      <w:pPr>
        <w:pStyle w:val="TextBody"/>
        <w:bidi w:val="0"/>
        <w:spacing w:before="960" w:after="0"/>
        <w:jc w:val="center"/>
        <w:rPr>
          <w:rFonts w:ascii="Times New Roman" w:hAnsi="Times New Roman"/>
          <w:b/>
          <w:sz w:val="48"/>
        </w:rPr>
      </w:pPr>
      <w:r>
        <w:rPr>
          <w:rFonts w:ascii="Times New Roman" w:hAnsi="Times New Roman"/>
          <w:b/>
          <w:sz w:val="48"/>
        </w:rPr>
        <w:t xml:space="preserve">Digital Realty Trust, Inc. </w:t>
      </w:r>
    </w:p>
    <w:p>
      <w:pPr>
        <w:pStyle w:val="TextBody"/>
        <w:bidi w:val="0"/>
        <w:spacing w:before="600" w:after="0"/>
        <w:jc w:val="center"/>
        <w:rPr>
          <w:rFonts w:ascii="Times New Roman" w:hAnsi="Times New Roman"/>
          <w:b/>
          <w:sz w:val="32"/>
        </w:rPr>
      </w:pPr>
      <w:r>
        <w:rPr>
          <w:rFonts w:ascii="Times New Roman" w:hAnsi="Times New Roman"/>
          <w:b/>
          <w:sz w:val="32"/>
        </w:rPr>
        <w:t xml:space="preserve">696,060 Shares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4" w:name="d914399dexfilingfees.htm"/>
      <w:bookmarkStart w:id="35" w:name="ksd914399dexfilingfees"/>
      <w:bookmarkStart w:id="36" w:name="d914399dexfilingfees.htm"/>
      <w:bookmarkStart w:id="37" w:name="ksd914399dexfilingfees"/>
      <w:bookmarkEnd w:id="36"/>
      <w:bookmarkEnd w:id="37"/>
      <w:r>
        <w:br w:type="page"/>
      </w:r>
    </w:p>
    <w:tbl>
      <w:tblPr>
        <w:tblW w:w="3995" w:type="dxa"/>
        <w:jc w:val="left"/>
        <w:tblInd w:w="0" w:type="dxa"/>
        <w:tblLayout w:type="fixed"/>
        <w:tblCellMar>
          <w:top w:w="28" w:type="dxa"/>
          <w:left w:w="28" w:type="dxa"/>
          <w:bottom w:w="28" w:type="dxa"/>
          <w:right w:w="28" w:type="dxa"/>
        </w:tblCellMar>
      </w:tblPr>
      <w:tblGrid>
        <w:gridCol w:w="3841"/>
        <w:gridCol w:w="154"/>
      </w:tblGrid>
      <w:tr>
        <w:trPr/>
        <w:tc>
          <w:tcPr>
            <w:tcW w:w="399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84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283"/>
              <w:jc w:val="left"/>
              <w:rPr>
                <w:b/>
              </w:rPr>
            </w:pPr>
            <w:r>
              <w:rPr>
                <w:b/>
              </w:rPr>
              <w:t xml:space="preserve">DIGITAL REALTY TRUST,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$0.01 par value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696,060 </w:t>
            </w:r>
          </w:p>
        </w:tc>
        <w:tc>
          <w:tcPr>
            <w:tcW w:w="1156" w:type="dxa"/>
            <w:tcBorders/>
            <w:shd w:fill="E7E7E2" w:val="clear"/>
            <w:vAlign w:val="center"/>
          </w:tcPr>
          <w:p>
            <w:pPr>
              <w:pStyle w:val="TableContents"/>
              <w:bidi w:val="0"/>
              <w:spacing w:before="0" w:after="283"/>
              <w:jc w:val="right"/>
              <w:rPr/>
            </w:pPr>
            <w:r>
              <w:rPr/>
              <w:t xml:space="preserve">$ 195.34 </w:t>
            </w:r>
          </w:p>
        </w:tc>
        <w:tc>
          <w:tcPr>
            <w:tcW w:w="1786" w:type="dxa"/>
            <w:tcBorders/>
            <w:shd w:fill="E7E7E2" w:val="clear"/>
            <w:vAlign w:val="center"/>
          </w:tcPr>
          <w:p>
            <w:pPr>
              <w:pStyle w:val="TableContents"/>
              <w:bidi w:val="0"/>
              <w:spacing w:before="0" w:after="283"/>
              <w:jc w:val="right"/>
              <w:rPr/>
            </w:pPr>
            <w:r>
              <w:rPr/>
              <w:t xml:space="preserve">$ 135,968,360.40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$ 18,777.23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8" w:name="MaxAggtOfferingPrice"/>
            <w:bookmarkEnd w:id="38"/>
            <w:r>
              <w:rPr/>
              <w:t xml:space="preserve">$ 135,968,360.40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9" w:name="TotalFeeAmt"/>
            <w:bookmarkEnd w:id="39"/>
            <w:r>
              <w:rPr/>
              <w:t xml:space="preserve">$ 18,777.23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TotalPreviouslyPaid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1" w:name="TotalOffsetAmt"/>
            <w:bookmarkEnd w:id="4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2" w:name="NetFeeAmt"/>
            <w:bookmarkEnd w:id="42"/>
            <w:r>
              <w:rPr/>
              <w:t xml:space="preserve">$ 18,777.23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9"/>
        <w:gridCol w:w="8705"/>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(a) Pursuant to Rule 416 under the Securities Act of 1933, as amended (the "Securities Act"), Registration Statement on Form S-3ASR (Registration No. 333-293494) also covers any additional securities issuable in connection with any stock split, stock dividend, or similar transaction with respect to the securities being registered pursuant to that registration statement. (b) Estimated solely for purposes of calculating the registration fee pursuant to Rule 457(c) under the Securities Act, based on average of high and low price per share of the common stock as reported on the New York Stock Exchange on August 12, 2026. (c) The registration fee is calculated in accordance with Rule 457(r) under the Securities Act and represents deferred payment of the registration fees in connection with the registrant's Registration Statement on Form S-3ASR (Registration No. 333-293494) paid with the filing of this prospectus supplement.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$135,968,360.40.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297996/000110465926015365/dlr-20251231x10k.htm" TargetMode="External"/><Relationship Id="rId4" Type="http://schemas.openxmlformats.org/officeDocument/2006/relationships/hyperlink" Target="http://www.sec.gov/Archives/edgar/data/../../../ix?doc=/Archives/edgar/data/1297996/000110465926015365/dlr-20251231x10k.htm" TargetMode="External"/><Relationship Id="rId5" Type="http://schemas.openxmlformats.org/officeDocument/2006/relationships/hyperlink" Target="http://www.sec.gov/Archives/edgar/data/../../../ix?doc=/Archives/edgar/data/0001297996/000130817926000296/dlr015307-def14a.htm" TargetMode="External"/><Relationship Id="rId6" Type="http://schemas.openxmlformats.org/officeDocument/2006/relationships/hyperlink" Target="http://www.sec.gov/Archives/edgar/data/../../../ix?doc=/Archives/edgar/data/0001297996/000110465926054255/dlr-20260331x10q.htm" TargetMode="External"/><Relationship Id="rId7" Type="http://schemas.openxmlformats.org/officeDocument/2006/relationships/hyperlink" Target="http://www.sec.gov/Archives/edgar/data/../../../ix?doc=/Archives/edgar/data/1297996/000110465926089296/dlr-20260630x10q.htm" TargetMode="External"/><Relationship Id="rId8" Type="http://schemas.openxmlformats.org/officeDocument/2006/relationships/hyperlink" Target="http://www.sec.gov/Archives/edgar/data/../../../ix?doc=/Archives/edgar/data/0001297996/000119312526053164/d112316d8k.htm" TargetMode="External"/><Relationship Id="rId9" Type="http://schemas.openxmlformats.org/officeDocument/2006/relationships/hyperlink" Target="http://www.sec.gov/Archives/edgar/data/../../../ix?doc=/Archives/edgar/data/0001297996/000119312526202581/d140571d8k.htm" TargetMode="External"/><Relationship Id="rId10" Type="http://schemas.openxmlformats.org/officeDocument/2006/relationships/hyperlink" Target="http://www.sec.gov/Archives/edgar/data/../../../ix?doc=/Archives/edgar/data/0001297996/000119312526276844/d50837d8k.htm" TargetMode="External"/><Relationship Id="rId11" Type="http://schemas.openxmlformats.org/officeDocument/2006/relationships/hyperlink" Target="http://www.sec.gov/Archives/edgar/data/../../../ix?doc=/Archives/edgar/data/0001297996/000119312526288761/d100507d8k.htm" TargetMode="External"/><Relationship Id="rId12" Type="http://schemas.openxmlformats.org/officeDocument/2006/relationships/hyperlink" Target="http://www.sec.gov/Archives/edgar/data/../../../ix?doc=/Archives/edgar/data/0001297996/000119312526292577/d332992d8k.htm" TargetMode="External"/><Relationship Id="rId13" Type="http://schemas.openxmlformats.org/officeDocument/2006/relationships/hyperlink" Target="http://www.sec.gov/Archives/edgar/data/../../../ix?doc=/Archives/edgar/data/1297996/000110465926068907/dlr-20260529x8k.htm" TargetMode="External"/><Relationship Id="rId14" Type="http://schemas.openxmlformats.org/officeDocument/2006/relationships/hyperlink" Target="http://www.sec.gov/Archives/edgar/data/1297996/000119312504179636/d8a12b.htm" TargetMode="External"/><Relationship Id="rId15" Type="http://schemas.openxmlformats.org/officeDocument/2006/relationships/hyperlink" Target="http://www.sec.gov/Archives/edgar/data/1297996/000110465926015365/dlr-20251231x10k.htm" TargetMode="External"/><Relationship Id="rId16" Type="http://schemas.openxmlformats.org/officeDocument/2006/relationships/hyperlink" Target="http://www.sec.gov/Archives/edgar/data/1297996/000130817925000509/dlr000000-def14a.htm" TargetMode="External"/><Relationship Id="rId17" Type="http://schemas.openxmlformats.org/officeDocument/2006/relationships/hyperlink" Target="http://www.sec.gov/Archives/edgar/data/1297996/000155837025001424/dlr-20241231x10k.htm" TargetMode="External"/><Relationship Id="rId18" Type="http://schemas.openxmlformats.org/officeDocument/2006/relationships/hyperlink" Target="http://www.sec.gov/Archives/edgar/data/1297996/000119312504179636/d8a12b.htm" TargetMode="External"/><Relationship Id="rId19" Type="http://schemas.openxmlformats.org/officeDocument/2006/relationships/hyperlink" Target="http://www.sec.gov/Archives/edgar/data/1297996/000119312517248824/d425847d8a12b.htm" TargetMode="External"/><Relationship Id="rId20" Type="http://schemas.openxmlformats.org/officeDocument/2006/relationships/hyperlink" Target="http://www.sec.gov/Archives/edgar/data/1297996/000119312519072090/d721065d8a12b.htm" TargetMode="External"/><Relationship Id="rId21" Type="http://schemas.openxmlformats.org/officeDocument/2006/relationships/hyperlink" Target="http://www.sec.gov/Archives/edgar/data/1297996/000119312519265151/d810964d8a12b.htm" TargetMode="External"/><Relationship Id="rId22" Type="http://schemas.openxmlformats.org/officeDocument/2006/relationships/image" Target="media/image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123</Pages>
  <Words>60017</Words>
  <Characters>311397</Characters>
  <CharactersWithSpaces>372127</CharactersWithSpaces>
  <Paragraphs>2824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424B7</dc:title>
</cp:coreProperties>
</file>