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890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9077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SINGLETON DENNIS E</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8"/>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DIGITAL REALTY TRUST, L.P.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DLR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top w:val="single" w:sz="8" w:color="0000EE"/>
            </w:tcBorders>
          </w:tcPr>
          <w:p>
            <w:pPr>
              <w:spacing w:after="0"/>
              <w:rPr>
                <w:sz w:val="9"/>
                <w:szCs w:val="9"/>
                <w:color w:val="auto"/>
              </w:rPr>
            </w:pPr>
          </w:p>
        </w:tc>
        <w:tc>
          <w:tcPr>
            <w:tcW w:w="74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0" w:type="dxa"/>
            <w:vAlign w:val="bottom"/>
            <w:gridSpan w:val="7"/>
            <w:vMerge w:val="restart"/>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5707 SOUTHWEST PARKWAY</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05/24/2022</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BUILDING 1, SUITE 275</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w w:val="99"/>
              </w:rPr>
              <w:t>AUSTIN</w:t>
            </w:r>
          </w:p>
        </w:tc>
        <w:tc>
          <w:tcPr>
            <w:tcW w:w="178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0000FF"/>
              </w:rPr>
              <w:t>TX</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78735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700" w:type="dxa"/>
            <w:vAlign w:val="bottom"/>
          </w:tcPr>
          <w:p>
            <w:pPr>
              <w:ind w:left="34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7"/>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60" w:type="dxa"/>
            <w:vAlign w:val="bottom"/>
            <w:gridSpan w:val="15"/>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Long-</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Term</w:t>
            </w:r>
          </w:p>
        </w:tc>
        <w:tc>
          <w:tcPr>
            <w:tcW w:w="74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rPr>
              <w:t>05/24/2022</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182</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182</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33,861</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0" w:type="dxa"/>
            <w:vAlign w:val="bottom"/>
            <w:gridSpan w:val="3"/>
          </w:tcPr>
          <w:p>
            <w:pPr>
              <w:ind w:left="60"/>
              <w:spacing w:after="0" w:line="112" w:lineRule="exact"/>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ind w:left="180"/>
              <w:spacing w:after="0" w:line="112"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60" w:firstLine="3"/>
        <w:spacing w:after="0"/>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Long-term incentive units are profits interest units in the Issuer, of which Digital Realty Trust, Inc. ("General Partner") is the general partner. Vested profits interest units may be converted into an equal number of common limited partnership ("Common Units") in the Issuer subject to the terms of the Issuer's limited partnership agreement. Common Units are redeemable for cash based on the fair market value of an equivalent numbers of shares of the General Partner's common stock, or, at the election of the General Partner, for an equal number of shares of the General Partner's common stock, subject to adjustment in the event of stock splits, stock dividends, issuance of stock rights, specified extraordinary distributions or similar events.</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statement of changes in beneficial ownership of securities ("Form 4") of the Issuer is being filed to report transactions that are being reported concurrently on a Form 4 for the General Partner.</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Salini Nandipati, Attorney-</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05/26/2022</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6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28868" TargetMode="External"/><Relationship Id="rId13" Type="http://schemas.openxmlformats.org/officeDocument/2006/relationships/hyperlink" Target="http://www.sec.gov/cgi-bin/browse-edgar?action=getcompany&amp;CIK=000149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2022-05-26T19:56:11Z</dcterms:created>
  <dcterms:modified xsi:type="dcterms:W3CDTF">2022-05-26T19:56:11Z</dcterms:modified>
</cp:coreProperties>
</file>