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2344"/>
        <w:spacing w:after="0"/>
        <w:rPr>
          <w:sz w:val="20"/>
          <w:szCs w:val="20"/>
          <w:color w:val="auto"/>
        </w:rPr>
      </w:pPr>
      <w:r>
        <w:rPr>
          <w:rFonts w:ascii="Times New Roman" w:cs="Times New Roman" w:eastAsia="Times New Roman" w:hAnsi="Times New Roman"/>
          <w:sz w:val="43"/>
          <w:szCs w:val="43"/>
          <w:b w:val="1"/>
          <w:bCs w:val="1"/>
          <w:color w:val="auto"/>
        </w:rPr>
        <w:t>DIGITAL REALTY TRUST, INC.</w:t>
      </w:r>
    </w:p>
    <w:p>
      <w:pPr>
        <w:spacing w:after="0" w:line="113"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43"/>
          <w:szCs w:val="43"/>
          <w:b w:val="1"/>
          <w:bCs w:val="1"/>
          <w:color w:val="auto"/>
        </w:rPr>
        <w:t>DIGITAL REALTY TRUST, L.P.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6"/>
        </w:trPr>
        <w:tc>
          <w:tcPr>
            <w:tcW w:w="342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1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001-32336</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8"/>
                <w:szCs w:val="18"/>
                <w:b w:val="1"/>
                <w:bCs w:val="1"/>
                <w:color w:val="auto"/>
                <w:w w:val="98"/>
              </w:rPr>
              <w:t>26-0081711</w:t>
            </w:r>
          </w:p>
        </w:tc>
      </w:tr>
      <w:tr>
        <w:trPr>
          <w:trHeight w:val="214"/>
        </w:trPr>
        <w:tc>
          <w:tcPr>
            <w:tcW w:w="342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1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000-54023</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8"/>
                <w:szCs w:val="18"/>
                <w:b w:val="1"/>
                <w:bCs w:val="1"/>
                <w:color w:val="auto"/>
                <w:w w:val="98"/>
              </w:rPr>
              <w:t>20-2402955</w:t>
            </w:r>
          </w:p>
        </w:tc>
      </w:tr>
      <w:tr>
        <w:trPr>
          <w:trHeight w:val="148"/>
        </w:trPr>
        <w:tc>
          <w:tcPr>
            <w:tcW w:w="342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60" w:type="dxa"/>
            <w:vAlign w:val="bottom"/>
          </w:tcPr>
          <w:p>
            <w:pPr>
              <w:jc w:val="center"/>
              <w:ind w:left="10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2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6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601 West 2nd Street, Floor 32</w:t>
            </w:r>
          </w:p>
        </w:tc>
        <w:tc>
          <w:tcPr>
            <w:tcW w:w="3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7"/>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Austin, Texas</w:t>
            </w:r>
          </w:p>
        </w:tc>
        <w:tc>
          <w:tcPr>
            <w:tcW w:w="3100" w:type="dxa"/>
            <w:vAlign w:val="bottom"/>
          </w:tcPr>
          <w:p>
            <w:pPr>
              <w:spacing w:after="0"/>
              <w:rPr>
                <w:sz w:val="19"/>
                <w:szCs w:val="19"/>
                <w:color w:val="auto"/>
              </w:rPr>
            </w:pPr>
          </w:p>
        </w:tc>
        <w:tc>
          <w:tcPr>
            <w:tcW w:w="2260" w:type="dxa"/>
            <w:vAlign w:val="bottom"/>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78701</w:t>
            </w:r>
          </w:p>
        </w:tc>
      </w:tr>
      <w:tr>
        <w:trPr>
          <w:trHeight w:val="190"/>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spacing w:after="0"/>
              <w:rPr>
                <w:sz w:val="16"/>
                <w:szCs w:val="16"/>
                <w:color w:val="auto"/>
              </w:rPr>
            </w:pPr>
          </w:p>
        </w:tc>
        <w:tc>
          <w:tcPr>
            <w:tcW w:w="226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3420" w:type="dxa"/>
            <w:vAlign w:val="bottom"/>
          </w:tcPr>
          <w:p>
            <w:pPr>
              <w:spacing w:after="0"/>
              <w:rPr>
                <w:sz w:val="24"/>
                <w:szCs w:val="24"/>
                <w:color w:val="auto"/>
              </w:rPr>
            </w:pPr>
          </w:p>
        </w:tc>
        <w:tc>
          <w:tcPr>
            <w:tcW w:w="31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(737) 281-0101</w:t>
            </w:r>
          </w:p>
        </w:tc>
        <w:tc>
          <w:tcPr>
            <w:tcW w:w="2260" w:type="dxa"/>
            <w:vAlign w:val="bottom"/>
          </w:tcPr>
          <w:p>
            <w:pPr>
              <w:spacing w:after="0"/>
              <w:rPr>
                <w:sz w:val="24"/>
                <w:szCs w:val="24"/>
                <w:color w:val="auto"/>
              </w:rPr>
            </w:pPr>
          </w:p>
        </w:tc>
      </w:tr>
      <w:tr>
        <w:trPr>
          <w:trHeight w:val="190"/>
        </w:trPr>
        <w:tc>
          <w:tcPr>
            <w:tcW w:w="6520" w:type="dxa"/>
            <w:vAlign w:val="bottom"/>
            <w:gridSpan w:val="2"/>
          </w:tcPr>
          <w:p>
            <w:pPr>
              <w:ind w:left="28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DLR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J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K Cumulative Redeemable Preferred Stock</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DLR Pr 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Series L Cumulative Redeemable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DLR Pr 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ectPr>
          <w:pgSz w:w="11900" w:h="16838" w:orient="portrait"/>
          <w:cols w:equalWidth="0" w:num="1">
            <w:col w:w="11024"/>
          </w:cols>
          <w:pgMar w:left="436" w:top="443" w:right="439" w:bottom="488" w:gutter="0" w:footer="0" w:header="0"/>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Digital Realty Trust, Inc.: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8" w:lineRule="exact"/>
        <w:rPr>
          <w:sz w:val="24"/>
          <w:szCs w:val="24"/>
          <w:color w:val="auto"/>
        </w:rPr>
      </w:pPr>
    </w:p>
    <w:p>
      <w:pPr>
        <w:sectPr>
          <w:pgSz w:w="11900" w:h="16838" w:orient="portrait"/>
          <w:cols w:equalWidth="0" w:num="2">
            <w:col w:w="3324" w:space="720"/>
            <w:col w:w="6980"/>
          </w:cols>
          <w:pgMar w:left="436" w:top="443" w:right="439" w:bottom="488" w:gutter="0" w:footer="0" w:header="0"/>
          <w:type w:val="continuous"/>
        </w:sectPr>
      </w:pPr>
    </w:p>
    <w:p>
      <w:pPr>
        <w:spacing w:after="0" w:line="4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Digital Realty Trust, L.P.:</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0" w:lineRule="exact"/>
        <w:rPr>
          <w:sz w:val="24"/>
          <w:szCs w:val="24"/>
          <w:color w:val="auto"/>
        </w:rPr>
      </w:pPr>
    </w:p>
    <w:p>
      <w:pPr>
        <w:sectPr>
          <w:pgSz w:w="11900" w:h="16838" w:orient="portrait"/>
          <w:cols w:equalWidth="0" w:num="2">
            <w:col w:w="3324" w:space="720"/>
            <w:col w:w="6980"/>
          </w:cols>
          <w:pgMar w:left="436" w:top="443" w:right="439" w:bottom="488" w:gutter="0" w:footer="0" w:header="0"/>
          <w:type w:val="continuous"/>
        </w:sectPr>
      </w:pPr>
    </w:p>
    <w:p>
      <w:pPr>
        <w:spacing w:after="0" w:line="3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Digital Realty Trust, Inc.:  </w:t>
      </w:r>
      <w:r>
        <w:rPr>
          <w:rFonts w:ascii="MS PGothic" w:cs="MS PGothic" w:eastAsia="MS PGothic" w:hAnsi="MS PGothic"/>
          <w:sz w:val="18"/>
          <w:szCs w:val="18"/>
          <w:color w:val="auto"/>
        </w:rPr>
        <w:t>☐</w:t>
      </w:r>
    </w:p>
    <w:p>
      <w:pPr>
        <w:spacing w:after="0" w:line="11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Digital Realty Trust, L.P.: 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488" w:gutter="0" w:footer="0" w:header="0"/>
          <w:type w:val="continuous"/>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Blackstone Acquisition (as defined in Item 8.01 below), on June 30, 2026, Digital Realty Trust, Inc. filed with the State Department of Assessments and Taxation of Maryland Articles Supplementary, which we refer to as the Articles Supplementary, to its charter, classifying and designating 12,310,249 shares of its authorized common stock, par value $0.01 per share (the “common stock”), as shares of non-voting common stock, $0.01 par value per share (the “non-voting common stock”). As set forth in the Articles Supplementary, the non-voting common stock has identical preferences, rights, restrictions, limitations as to dividends and other distributions, qualifications, and terms and conditions of redemption as the common stock of Digital Realty Trust, Inc., except that the non-voting common stock does not have any voting rights, and each share of non-voting common stock automatically and without any action on the part of the holder thereof converts into one share of common stock upon a transfer of such share of non-voting common stock by the initial holder or an affiliate thereof to a person not affiliated with the initial holder. For the avoidance of doubt, following the conversion of any shares of non-voting common stock, such shares are automatically retired and restored to the status of authorized but unissued shares of common stock.</w:t>
      </w:r>
    </w:p>
    <w:p>
      <w:pPr>
        <w:spacing w:after="0" w:line="194"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Articles Supplementary is a summary and, as such, does not purport to be complete and is qualified in its entirety by reference to the Articles Supplementary, which are filed as Exhibit 3.1 to this Current Report on Form 8-K and is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June 30, 2026, the company completed its previously-disclosed acquisition from affiliates of Blackstone Inc. (collectively, “Blackstone”) of all of Blackstone’s interests in the Digital Carver Dulles 9 and Digital Carver Brickyard joint ventures (the “Blackstone Acquisition”).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July 1, 2026, Blackstone completed an underwritten public offering of 12,310,249 shares of common stock, which were issued upon conversion of an equal number of shares of non-voting common stock held by Blackstone, at a price per share to the public of $185.00. The company did not receive any proceeds from the sale of shares of common stock by Blackstone.</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Digital Realty and the operating partnership entered into an underwriting agreement (the “underwriting agreement”), dated June 29, 2026, among Digital Realty, the operating partnership, Blackstone and Morgan Stanley &amp; Co. LLC as underwriter (the “underwriter”). The underwriting agreement contains customary representations and warranties of the parties, and indemnification and contribution provisions under which the company and Blackstone have agreed to indemnify the underwriter against certain liabilities, including liabilities under the Securities Act of 1933, as amended. A copy of the underwriting agreement is attached as Exhibit 1.1 to this Current Report on Form 8-K and incorporated herein by reference. The summary set forth above is qualified in its entirety by reference to such exhibit.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shares were offered and sold under a prospectus supplement and related prospectus filed with the Securities and Exchange Commission pursuant to our effective shelf registration statement on Form S-3 (File Nos. 333-293494 and 333-293494-01).</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we are filing as Exhibit 5.1 to this Current Report on Form 8-K an opinion of our counsel, Venable LLP, regarding certain Maryland law issues regarding our common stock.</w:t>
      </w:r>
    </w:p>
    <w:p>
      <w:pPr>
        <w:sectPr>
          <w:pgSz w:w="11900" w:h="16838" w:orient="portrait"/>
          <w:cols w:equalWidth="0" w:num="1">
            <w:col w:w="10940"/>
          </w:cols>
          <w:pgMar w:left="440" w:top="297"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9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June 29, 2026, among Digital Realty Trust, Inc., Digital Realty Trust, L.P., the selling stockholders</w:t>
            </w:r>
          </w:p>
        </w:tc>
      </w:tr>
      <w:tr>
        <w:trPr>
          <w:trHeight w:val="196"/>
        </w:trPr>
        <w:tc>
          <w:tcPr>
            <w:tcW w:w="1040" w:type="dxa"/>
            <w:vAlign w:val="bottom"/>
          </w:tcPr>
          <w:p>
            <w:pPr>
              <w:spacing w:after="0"/>
              <w:rPr>
                <w:sz w:val="17"/>
                <w:szCs w:val="17"/>
                <w:color w:val="auto"/>
              </w:rPr>
            </w:pPr>
          </w:p>
        </w:tc>
        <w:tc>
          <w:tcPr>
            <w:tcW w:w="98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party thereto, and Morgan Stanley &amp; Co. LLC as underwriter</w:t>
            </w:r>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Articles Supplementary designating Non-Voting Common Stock of Digital Realty Trust, Inc.</w:t>
            </w:r>
          </w:p>
        </w:tc>
        <w:tc>
          <w:tcPr>
            <w:tcW w:w="316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Opinion of Venable LLP.</w:t>
            </w:r>
          </w:p>
        </w:tc>
        <w:tc>
          <w:tcPr>
            <w:tcW w:w="8040" w:type="dxa"/>
            <w:vAlign w:val="bottom"/>
            <w:gridSpan w:val="4"/>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Venable LLP (included in Exhibit 5.1).</w:t>
            </w:r>
          </w:p>
        </w:tc>
      </w:tr>
      <w:tr>
        <w:trPr>
          <w:trHeight w:val="20"/>
        </w:trPr>
        <w:tc>
          <w:tcPr>
            <w:tcW w:w="10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880"/>
          </w:cols>
          <w:pgMar w:left="440" w:top="293" w:right="5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Digital Realty Trust, Inc.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Jeannie Lee</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ectPr>
          <w:pgSz w:w="11900" w:h="16838" w:orient="portrait"/>
          <w:cols w:equalWidth="0" w:num="1">
            <w:col w:w="10600"/>
          </w:cols>
          <w:pgMar w:left="440" w:top="293" w:right="8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379730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12,310,249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 REALTY TRUST,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12,310,249 Shares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BIP US Nucleus Aggregator L.P., BREP US Nucleus Aggregator L.P., BXPE Nucleus US Holdco L.P., BXPE Nucleus Lux Holdco L.P., BTO Nucleus Holdings DE L.P. (each, a “Selling Stockholder” and collectively, the “Selling Stockholders”) propose to sell to the several Underwriters named in Schedule A hereto (the “Underwriters”) an aggregate of 12,310,249 shares (the “Securities”) of common stock, $0.01 par value per share (the “Common Stock”), of Digital Realty Trust, Inc., a Maryland corporation (the “Company”). The Securities will be issued upon one-to-one conversion of an equal number of shares of non-voting common stock, $0.01 par value per share (the “Non-Voting Common Stock”), of the Company to be held by the Selling Stockholders at the Closing Time, which conversion will occur automatically and without any action on the part of the Selling Stockholders pursuant to those certain Articles Supplementary to the Company’s charter (the “Articles Supplementary”) that will establish the Non-Voting Common Stock upon the transfer of such shares of Non-Voting Common Stock by the Selling Stockholders to the Underwriters in accordance with Section 2 of this Agreement. To the extent there are no additional Underwriters listed on Schedule A other than you, the terms Representatives and Underwriters, each as used herein, shall mean you, as Underwriter.</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“Commission”) an “automatic shelf registration statement,” as defined under Rule 405 (“Rule 405”) under the Securities Act of 1933, as amended (the “1933 Act”), on Form S-3 (File No. 333-293494), covering the public offering and sale of certain securities of the Company, including the Securities, under the 1933 Act and the rules and regulations promulgated thereunder (the “1933 Act Regulations”), which automatic shelf registration statement became effective under Rule 462(e) of the 1933 Act Regulations (“Rule 462(e)”). Promptly after execution and delivery of this Agreement, the Company will prepare and file a prospectus in accordance with the provisions of Rule 430B (“Rule 430B”) of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430B(f) is herein called the “Rule 430B Information.” Such registration statement, including the amendments thereto, the exhibits thereto and any schedules thereto, and the documents incorporated by reference therein pursuant to Item 12 of Form S-3 under the 1933 Act, at the time it became effective, and including the Rule 430B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w:t>
      </w:r>
    </w:p>
    <w:p>
      <w:pPr>
        <w:sectPr>
          <w:pgSz w:w="11900" w:h="16838" w:orient="portrait"/>
          <w:cols w:equalWidth="0" w:num="1">
            <w:col w:w="11020"/>
          </w:cols>
          <w:pgMar w:left="440" w:top="266" w:right="439" w:bottom="1440" w:gutter="0" w:footer="0" w:header="0"/>
        </w:sectPr>
      </w:pPr>
    </w:p>
    <w:bookmarkStart w:id="6" w:name="page7"/>
    <w:bookmarkEnd w:id="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and each prospectus that omitted the Rule 430B Information that was used after such effectiveness and prior to the execution and delivery of this Agreement, including the documents incorporated by reference therein pursuant to Item 12 of Form S-3 under the 1933 Act, is herein called a “preliminary prospectus.” The final prospectus, in the form first furnished to the Underwriters for use in connection with the offering of the Securities, including the documents incorporated by reference therein pursuant to Item 12 of Form S-3 under the 1933 Act,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ind w:left="440" w:right="720" w:firstLine="423"/>
        <w:spacing w:after="0" w:line="282" w:lineRule="auto"/>
        <w:rPr>
          <w:sz w:val="20"/>
          <w:szCs w:val="20"/>
          <w:color w:val="auto"/>
        </w:rPr>
      </w:pPr>
      <w:r>
        <w:rPr>
          <w:rFonts w:ascii="Times New Roman" w:cs="Times New Roman" w:eastAsia="Times New Roman" w:hAnsi="Times New Roman"/>
          <w:sz w:val="18"/>
          <w:szCs w:val="18"/>
          <w:color w:val="auto"/>
        </w:rPr>
        <w:t>“Applicable Time” means 10:20 P.M., New York City time, on June 29, 2026 or such other time as agreed by the Company and the Representatives.</w:t>
      </w:r>
    </w:p>
    <w:p>
      <w:pPr>
        <w:spacing w:after="0" w:line="54" w:lineRule="exact"/>
        <w:rPr>
          <w:sz w:val="20"/>
          <w:szCs w:val="20"/>
          <w:color w:val="auto"/>
        </w:rPr>
      </w:pPr>
    </w:p>
    <w:p>
      <w:pPr>
        <w:jc w:val="both"/>
        <w:ind w:left="440" w:right="140" w:firstLine="423"/>
        <w:spacing w:after="0" w:line="266" w:lineRule="auto"/>
        <w:rPr>
          <w:sz w:val="20"/>
          <w:szCs w:val="20"/>
          <w:color w:val="auto"/>
        </w:rPr>
      </w:pPr>
      <w:r>
        <w:rPr>
          <w:rFonts w:ascii="Times New Roman" w:cs="Times New Roman" w:eastAsia="Times New Roman" w:hAnsi="Times New Roman"/>
          <w:sz w:val="18"/>
          <w:szCs w:val="18"/>
          <w:color w:val="auto"/>
        </w:rPr>
        <w:t>“General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C-1 hereto, all considered together.</w:t>
      </w:r>
    </w:p>
    <w:p>
      <w:pPr>
        <w:spacing w:after="0" w:line="68" w:lineRule="exact"/>
        <w:rPr>
          <w:sz w:val="20"/>
          <w:szCs w:val="20"/>
          <w:color w:val="auto"/>
        </w:rPr>
      </w:pPr>
    </w:p>
    <w:p>
      <w:pPr>
        <w:ind w:left="440" w:right="60" w:firstLine="423"/>
        <w:spacing w:after="0" w:line="25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(“Rule 433”), including without limitation any “free writing prospectus” (as defined in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9" w:lineRule="exact"/>
        <w:rPr>
          <w:sz w:val="20"/>
          <w:szCs w:val="20"/>
          <w:color w:val="auto"/>
        </w:rPr>
      </w:pPr>
    </w:p>
    <w:p>
      <w:pPr>
        <w:ind w:left="440" w:right="740" w:firstLine="423"/>
        <w:spacing w:after="0" w:line="282"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as evidenced by its being specified in Schedule C-2 hereto.</w:t>
      </w:r>
    </w:p>
    <w:p>
      <w:pPr>
        <w:spacing w:after="0" w:line="54" w:lineRule="exact"/>
        <w:rPr>
          <w:sz w:val="20"/>
          <w:szCs w:val="20"/>
          <w:color w:val="auto"/>
        </w:rPr>
      </w:pPr>
    </w:p>
    <w:p>
      <w:pPr>
        <w:ind w:left="440" w:right="420" w:firstLine="423"/>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54" w:lineRule="exact"/>
        <w:rPr>
          <w:sz w:val="20"/>
          <w:szCs w:val="20"/>
          <w:color w:val="auto"/>
        </w:rPr>
      </w:pPr>
    </w:p>
    <w:p>
      <w:pPr>
        <w:jc w:val="both"/>
        <w:ind w:left="440" w:right="60" w:firstLine="423"/>
        <w:spacing w:after="0" w:line="266" w:lineRule="auto"/>
        <w:rPr>
          <w:sz w:val="20"/>
          <w:szCs w:val="20"/>
          <w:color w:val="auto"/>
        </w:rPr>
      </w:pPr>
      <w:r>
        <w:rPr>
          <w:rFonts w:ascii="Times New Roman" w:cs="Times New Roman" w:eastAsia="Times New Roman" w:hAnsi="Times New Roman"/>
          <w:sz w:val="18"/>
          <w:szCs w:val="18"/>
          <w:color w:val="auto"/>
        </w:rPr>
        <w:t>“JV Closing” means the closing of the transactions contemplated by the Purchase and Sale Agreement, upon which the Company will issue the Non-Voting Common Stock to the Selling Stockholders as partial consideration for the acquisition of the Purchased Interests (as defined in the Purchase and Sale Agreement).</w:t>
      </w:r>
    </w:p>
    <w:p>
      <w:pPr>
        <w:spacing w:after="0" w:line="68" w:lineRule="exact"/>
        <w:rPr>
          <w:sz w:val="20"/>
          <w:szCs w:val="20"/>
          <w:color w:val="auto"/>
        </w:rPr>
      </w:pPr>
    </w:p>
    <w:p>
      <w:pPr>
        <w:ind w:left="440" w:right="180" w:firstLine="423"/>
        <w:spacing w:after="0" w:line="261" w:lineRule="auto"/>
        <w:rPr>
          <w:sz w:val="20"/>
          <w:szCs w:val="20"/>
          <w:color w:val="auto"/>
        </w:rPr>
      </w:pPr>
      <w:r>
        <w:rPr>
          <w:rFonts w:ascii="Times New Roman" w:cs="Times New Roman" w:eastAsia="Times New Roman" w:hAnsi="Times New Roman"/>
          <w:sz w:val="18"/>
          <w:szCs w:val="18"/>
          <w:color w:val="auto"/>
        </w:rPr>
        <w:t>“Purchase and Sale Agreement” means that certain Purchase and Sale Agreement, dated as of June 29, 2026, among the Company, the Operating Partnership and the Selling Stockholders, pursuant to which the Company has agreed to acquire the Purchased Interests (as defined therein) from the Selling Stockholders in exchange for, among other consideration, the issuance of the Non-Voting Common Stock to the Selling Stockholders at the JV Closing.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7" w:name="page8"/>
    <w:bookmarkEnd w:id="7"/>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in this Agreement to financial statements and schedules and other information which is “contained,” “included,” “made,” “stated” or “referred to” (or other references of like import) in the Registration Statement, any preliminary prospectus or the Prospectus shall be deemed to include all such financial statements and schedules and other information incorporated or deemed incorporated by reference in or otherwise deemed by 1933 Act Regulations to be a part of or included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“1934 Act”), and the rules and regulations promulgated thereunder (the “1934 Act Regulations”) incorporated or deemed to be incorporated by reference in or otherwise deemed by the 1933 Act Regulations to be a part of or included in the Registration Statement, such preliminary prospectus or the Prospectus, as the case may be, at or after the execution and delivery of this Agreement.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80" w:firstLine="436"/>
        <w:spacing w:after="0" w:line="267"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 and the Operating Partnership</w:t>
      </w:r>
      <w:r>
        <w:rPr>
          <w:rFonts w:ascii="Times New Roman" w:cs="Times New Roman" w:eastAsia="Times New Roman" w:hAnsi="Times New Roman"/>
          <w:sz w:val="18"/>
          <w:szCs w:val="18"/>
          <w:color w:val="auto"/>
        </w:rPr>
        <w:t>. Each of the Company and Digital Realty Trust, L.P.,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Maryland limited partnership (the “Operating Partnership”) jointly and severally represents and warrants to each Underwriter as of the date hereof, the Applicable Time and the Closing Time (as defined below), and agrees with each Underwriter, as follows:</w:t>
      </w:r>
    </w:p>
    <w:p>
      <w:pPr>
        <w:spacing w:after="0" w:line="175" w:lineRule="exact"/>
        <w:rPr>
          <w:rFonts w:ascii="Times New Roman" w:cs="Times New Roman" w:eastAsia="Times New Roman" w:hAnsi="Times New Roman"/>
          <w:sz w:val="18"/>
          <w:szCs w:val="18"/>
          <w:color w:val="auto"/>
        </w:rPr>
      </w:pPr>
    </w:p>
    <w:p>
      <w:pPr>
        <w:ind w:right="60" w:firstLine="987"/>
        <w:spacing w:after="0" w:line="254" w:lineRule="auto"/>
        <w:tabs>
          <w:tab w:leader="none" w:pos="120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of the Registration Statement, the Prospectus and Incorporated Documents</w:t>
      </w:r>
      <w:r>
        <w:rPr>
          <w:rFonts w:ascii="Times New Roman" w:cs="Times New Roman" w:eastAsia="Times New Roman" w:hAnsi="Times New Roman"/>
          <w:sz w:val="18"/>
          <w:szCs w:val="18"/>
          <w:color w:val="auto"/>
        </w:rPr>
        <w:t>. The Company meets the requirements for use of Form S-3 under the 1933 Act. The Registration Statement is an automatic shelf registration statement under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notice of objection of the Commission to the use of the Registration Statement or any post-effective amendment thereto pursuant to Rule 401(g)(2) of the 1933 Act Regulations (“Rule 401(g)(2)”)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including pursuant to Section 8A of the 1933 Act. The Company has complied with each request (if any) from the Commission for additional information.</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the Applicable Time and the Closing Time complied and will comply in all material respects with the requirements of the 1933 Act and the 1933 Act Regulations. Each preliminary prospectus, the Prospectus and any amendment or supplement thereto, at the time each was filed with the Commission, and, in each case, at the Applicable Time and the Closing Time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The documents incorporated or deemed to be incorporated by reference in the Registration Statement, any preliminary prospectus and the Prospectus, when they became effective or at the time they were or hereafter are filed with the Commission, complied and will comply in all material respects with the requirements of the 1934 Act and the 1934 Act Regulations.</w:t>
      </w:r>
    </w:p>
    <w:p>
      <w:pPr>
        <w:spacing w:after="0" w:line="188" w:lineRule="exact"/>
        <w:rPr>
          <w:sz w:val="20"/>
          <w:szCs w:val="20"/>
          <w:color w:val="auto"/>
        </w:rPr>
      </w:pPr>
    </w:p>
    <w:p>
      <w:pPr>
        <w:ind w:right="120" w:firstLine="987"/>
        <w:spacing w:after="0" w:line="261" w:lineRule="auto"/>
        <w:tabs>
          <w:tab w:leader="none" w:pos="1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on the date hereof or at the Closing Time, contained, contains or will contain an untrue statement of a material fact or omitted, omits or will omit to state a material fact required to be stated therein or necessary in order to make the statements therein not misleading. At the Applicable Time, neither (A) the General Disclosure Package nor (B) any individual Issuer Limited Use Free Writing Prospectus, when considered together with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8" w:name="page9"/>
    <w:bookmarkEnd w:id="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or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in order to make the statements therein not misleading.</w:t>
      </w:r>
    </w:p>
    <w:p>
      <w:pPr>
        <w:spacing w:after="0" w:line="194"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sixth paragraph, the thirteenth paragraph, the fourteenth paragraph and the sixteenth paragraph under the caption “Underwriting,” in each case contained in the Prospectus (collectively, the “Underwriter Information”).</w:t>
      </w:r>
    </w:p>
    <w:p>
      <w:pPr>
        <w:spacing w:after="0" w:line="183"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There is no franchise, contract or other document of a character required to be described or incorporated by reference in the General Disclosure Package, the Registration Statement or the Prospectus, or to be filed as an exhibit thereto, which is not described or filed as required; and the statements included or incorporated by reference (A) in the General Disclosure Package and the preliminary prospectus under the heading “Underwriting” and</w:t>
      </w:r>
    </w:p>
    <w:p>
      <w:pPr>
        <w:spacing w:after="0" w:line="2" w:lineRule="exact"/>
        <w:rPr>
          <w:sz w:val="20"/>
          <w:szCs w:val="20"/>
          <w:color w:val="auto"/>
        </w:rPr>
      </w:pPr>
    </w:p>
    <w:p>
      <w:pPr>
        <w:ind w:left="4" w:right="120" w:hanging="4"/>
        <w:spacing w:after="0" w:line="271" w:lineRule="auto"/>
        <w:tabs>
          <w:tab w:leader="none" w:pos="28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Prospectus under the headings “Description of Common Stock,” “Description of Preferred Stock,” “Description of Depositary Shares,” “Description of Warrants,” “Description of Debt Securities and Related Guarantees,” “Restrictions on Ownership and Transfer,” “Description of the Partnership Agreement of Digital Realty Trust, L.P.,” “Material Provisions of Maryland Law and of the Charter and Bylaws of Digital Realty Trust, Inc.,” “United States Federal Income Tax Considerations,” and “Plan of Distribution,” insofar as such statements summarize legal matters, agreements, documents or proceedings discussed therein, are accurate and fair summaries of such legal matters, agreements, documents or proceedings.</w:t>
      </w:r>
    </w:p>
    <w:p>
      <w:pPr>
        <w:spacing w:after="0" w:line="173" w:lineRule="exact"/>
        <w:rPr>
          <w:rFonts w:ascii="Times New Roman" w:cs="Times New Roman" w:eastAsia="Times New Roman" w:hAnsi="Times New Roman"/>
          <w:sz w:val="17"/>
          <w:szCs w:val="17"/>
          <w:color w:val="auto"/>
        </w:rPr>
      </w:pPr>
    </w:p>
    <w:p>
      <w:pPr>
        <w:ind w:left="4" w:right="260" w:firstLine="987"/>
        <w:spacing w:after="0" w:line="254"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or any amendment or supplement thereto, including any document incorporated by reference therein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of the 1933 Act Regulations (“Rule 163”) and otherwise complied in all material respects with the requirements of Rule 163, including, without limitation, the legending requirement, to qualify such offer for the exemption from Section 5(c) of the 1933 Act provided by Rule 163.</w:t>
      </w:r>
    </w:p>
    <w:p>
      <w:pPr>
        <w:spacing w:after="0" w:line="191"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made any offer relating to the Securities in reliance on the exemption in Rule 163, (D) at the date of this Agreement, and (E) at the Applicable Time, the Company was and is a “well-known seasoned issuer,” as defined in Rule 405. The Company agrees to pay the fees required by the Commission relating to the Securities within the time required by Rule 456(b)(1) without regard to the proviso therein and otherwise in accordance with Rules 456(b) and 457(r).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 w:name="page10"/>
    <w:bookmarkEnd w:id="9"/>
    <w:p>
      <w:pPr>
        <w:ind w:left="-20" w:right="120" w:firstLine="987"/>
        <w:spacing w:after="0" w:line="258"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Securities and at the date of this Agreement and at each Applicable Time,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KPMG</w:t>
      </w:r>
      <w:r>
        <w:rPr>
          <w:rFonts w:ascii="Times New Roman" w:cs="Times New Roman" w:eastAsia="Times New Roman" w:hAnsi="Times New Roman"/>
          <w:sz w:val="18"/>
          <w:szCs w:val="18"/>
          <w:color w:val="auto"/>
        </w:rPr>
        <w:t>. KPMG LLP (“KPMG”), which has delivered its audit report with respect to the Company’s consolidated financial statements and financial statement schedule III (properties and accumulated depreciation) included or incorporated by reference in the General Disclosure Package and the Prospectus, is an independent registered public accounting firm within the meaning of the Sarbanes-Oxley Act of 2002 and the rules and regulations promulgated in connection therewith and as required by the Public Company Accounting Oversight Board (the “PCAOB”).</w:t>
      </w:r>
    </w:p>
    <w:p>
      <w:pPr>
        <w:spacing w:after="0" w:line="179" w:lineRule="exact"/>
        <w:rPr>
          <w:rFonts w:ascii="Times New Roman" w:cs="Times New Roman" w:eastAsia="Times New Roman" w:hAnsi="Times New Roman"/>
          <w:sz w:val="18"/>
          <w:szCs w:val="18"/>
          <w:color w:val="auto"/>
        </w:rPr>
      </w:pPr>
    </w:p>
    <w:p>
      <w:pPr>
        <w:ind w:left="-20" w:firstLine="987"/>
        <w:spacing w:after="0" w:line="251" w:lineRule="auto"/>
        <w:tabs>
          <w:tab w:leader="none" w:pos="13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and schedules, including the notes thereto, filed with the Commission as part of or incorporated by reference in the Registration Statement, and included or incorporated by reference in the General Disclosure Package and the Prospectus, present fairly in all material respects the financial condition, results of operations and cash flows of the Company and the Operating Partnership as of the dates and for the periods indicated, comply as to form in all material respects with the applicable accounting requirements of the 1933 Act and the 1934 Act and have been prepared in conformity with U.S. generally accepted accounting principles applied on a consistent basis throughout the periods involved (except as otherwise noted therein). To the knowledge of the Company and the Operating Partnership, the financial statements of any businesses acquired by the Company or its subsidiaries or determined to be probable of acquisition by the Company or its subsidiaries, if any, incorporated by reference in the Registration Statement, and included or incorporated by reference in the General Disclosure Package and the Prospectus, present fairly in all material respects the information set forth therein and have been prepared, in all material respects, in accordance with the applicable financial statement requirements of Rule 3-05 and Article 11 of Regulation S-X. All non-GAAP financial information incorporated by reference in the Registration Statement, and included or incorporated by reference in the General Disclosure Package and the Prospectus, complies in all material respects with the requirements of Regulation G and Item 10 of Regulation S-K under the 1933 Act. The pro forma financial statements incorporated by reference in the General Disclosure Package, the Prospectus and the Registration Statement, if any,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incorporated by reference in the General Disclosure Package, the Prospectus and the Registration Statement. The pro forma financial statements including the notes thereto, if any, incorporated by reference in the General Disclosure Package, the Prospectus and the Registration Statement, comply as to form in all material respects with the applicable accounting requirements of Regulation S-X under the 1933 Act and the pro forma adjustments have been properly applied to the historical amounts in the compilation of those statements. No other financial statements or schedules are required to be included or incorporated by reference in the Registration Statement, the General Disclosure Package or the Prospectus. The interactive data in eXtensible Business Reporting Language included or incorporated by reference in the Registration Statement, the General Disclosure Package and the Prospectus fairly present the information called for in all material respects and have been prepared in accordance with the Commission’s rules and guidelines applicable thereto.</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0" w:name="page11"/>
    <w:bookmarkEnd w:id="10"/>
    <w:p>
      <w:pPr>
        <w:ind w:left="4" w:right="40" w:firstLine="987"/>
        <w:spacing w:after="0" w:line="254" w:lineRule="auto"/>
        <w:tabs>
          <w:tab w:leader="none" w:pos="1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Except as otherwise stated in the Registration Statement, the General Disclosure Package and the Prospectus, since the respective dates as of which information is disclosed in the Registration Statement, the General Disclosure Package or the Prospectus, (A) there has been no material adverse change, or development involving a prospective material adverse change, in the condition (financial or otherwise), prospects, earnings, business or properties of the Company and its subsidiaries, taken as a whole, whether or not arising from transactions in the ordinary course of business (a “Material Adverse Change”), (B) there have been no transactions entered into by the Company or any of its subsidiaries, other than those in the ordinary course of business, which are material with respect to the Company and its subsidiaries considered as one enterprise, and (C) except for regular quarterly dividends on the Common Stock and Preferred Stock (as defined below) in amounts per share that are consistent with past practice, there has been no dividend or distribution of any kind declared, paid or made by the Company on any class or series of its capital stock.</w:t>
      </w:r>
    </w:p>
    <w:p>
      <w:pPr>
        <w:spacing w:after="0" w:line="18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Filed Documents in Compliance</w:t>
      </w:r>
      <w:r>
        <w:rPr>
          <w:rFonts w:ascii="Times New Roman" w:cs="Times New Roman" w:eastAsia="Times New Roman" w:hAnsi="Times New Roman"/>
          <w:sz w:val="18"/>
          <w:szCs w:val="18"/>
          <w:color w:val="auto"/>
        </w:rPr>
        <w:t>. All documents filed by the Company pursuant to Sections 12, 13, 14 or 15 of the 1934 Act, when they became or, prior to any Representation Date, become effective or were or, prior to any Representation Date, are filed with the Commission, as the case may be, complied or will comply in all material respects with the requirements of the 1933 Act or the 1934 Act, as applicable.</w:t>
      </w:r>
    </w:p>
    <w:p>
      <w:pPr>
        <w:spacing w:after="0" w:line="175"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Good Standing of the Company; No Material Adverse Effect</w:t>
      </w:r>
      <w:r>
        <w:rPr>
          <w:rFonts w:ascii="Times New Roman" w:cs="Times New Roman" w:eastAsia="Times New Roman" w:hAnsi="Times New Roman"/>
          <w:sz w:val="17"/>
          <w:szCs w:val="17"/>
          <w:color w:val="auto"/>
        </w:rPr>
        <w:t>. The Company has been duly incorporated and is validly existing as a corporation in good standing under the laws of the State of Maryland with full corporate power and authority to own or lease, as the case may be, and to operate its properties and conduct its business as described in the General Disclosure Package and the Prospectus, and to enter into and perform its obligations under this Agreement and as general partner of the Operating Partnership, to cause the Operating Partnership to enter into and perform the Operating Partnership’s obligations under this Agreement and the Nineteenth Amended and Restated Agreement of Limited Partnership of the Operating Partnership (as amended, the “Operating Partnership Agreement”), and is duly qualified to do business as a foreign corporation and is in good standing under the laws of each jurisdiction which requires such qualification, except where the failure to be so qualified would not reasonably be expected to have a material adverse effect on the condition (financial or otherwise), prospects, earnings, business or properties of the Company and its subsidiaries, taken as a whole, whether or not arising from transactions in the ordinary course of business (a “Material Adverse Effect”). The Operating Partnership has been duly formed and is validly existing as a limited partnership in good standing under the laws of the State of Maryland with full power and authority to own or lease, as the case may be, and to operate its properties and conduct its business as described in the General Disclosure Package and the Prospectus and to enter into and perform its obligations under this Agreement and is duly qualified to do business and is in good standing as a foreign limited partnership under the laws of each jurisdiction which requires such qualification, except where the failure to be so qualified would not reasonably be expected to have a Material Adverse Effect. None of the Company, the Operating Partnership or any subsidiary is in violation or default of (i) any provision of the charter, bylaws or other organizational or governing documents of the Company, the Operating Partnership or any Significant Subsidiary (as defined below), (ii) any provision of the charter, the bylaws or other organizational or governing documents of any subsidiary (other than the Operating Partnership and the Significant Subsidiaries), (iii) the terms of any indenture, contract, lease, mortgage, deed of trust, note agreement, loan agreement or other agreement, obligation, condition, covenant or instrument to which it is a party or bound or to which its property is subject, or (iv)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(iii) or</w:t>
      </w:r>
    </w:p>
    <w:p>
      <w:pPr>
        <w:spacing w:after="0" w:line="206"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such violations or defaults that would not, individually or in the aggregate, reasonably be expected to have a Material Adverse Effect.</w:t>
      </w:r>
    </w:p>
    <w:p>
      <w:pPr>
        <w:spacing w:after="0" w:line="206"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direct and indirect subsidiary of the Company has been duly formed and is validly existing as a corporation, limited liability company or limited partnership, as the case may be, in good standing under the laws of the jurisdiction in which it is chartered or organized with full power and authority (corporate or other) to own or lease, as the case may be, and to operate its properties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1" w:name="page12"/>
    <w:bookmarkEnd w:id="1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conduct its business as described in the General Disclosure Package and the Prospectus, except as would not reasonably be expected to have a Material Adverse Effect, and is duly qualified to do business as a foreign corporation, limited liability company or limited partnership, as the case may be, and is in good standing under the laws of each jurisdiction which requires such qualification, except where the failure to be so qualified would not reasonably be expected to have a Material Adverse Effect. All the outstanding shares of capital stock or other ownership interests of each direct and indirect subsidiary of the Company (other than the Operating Partnership) have been duly and validly authorized and issued and are fully paid and nonassessable, except as would not reasonably be expected to have a Material Adverse Effect, and, except as otherwise set forth in the General Disclosure Package and the Prospectus, all outstanding shares of capital stock or other ownership interests of each direct and indirect subsidiary of the Company (other than the Operating Partnership) are owned by the Company or the Operating Partnership either directly or through wholly owned subsidiaries free and clear of any perfected security interest or any other security interests, claims, mortgages, pledges, liens, encumbrances or other restrictions of any kind (collectively, “Liens”), except for Liens securing indebtedness as described in the General Disclosure Package and the Prospectus or except where such Liens would not, individually or in the aggregate, reasonably be expected to have a Material Adverse Effect. Except as set forth in the General Disclosure Package and the Prospectus, or as would not reasonably be expected to have a Material Adverse Effect, there are no outstanding options, warrants or other rights to purchase, agreements or other obligations to issue, or rights to convert any obligations into or exchange any securities or interests for capital stock or other ownership interests of any direct and indirect subsidiary of the Company (other than the Operating Partnership).</w:t>
      </w:r>
    </w:p>
    <w:p>
      <w:pPr>
        <w:spacing w:after="0" w:line="196" w:lineRule="exact"/>
        <w:rPr>
          <w:sz w:val="20"/>
          <w:szCs w:val="20"/>
          <w:color w:val="auto"/>
        </w:rPr>
      </w:pPr>
    </w:p>
    <w:p>
      <w:pPr>
        <w:ind w:firstLine="987"/>
        <w:spacing w:after="0" w:line="253" w:lineRule="auto"/>
        <w:tabs>
          <w:tab w:leader="none" w:pos="13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Listing of Common Stock</w:t>
      </w:r>
      <w:r>
        <w:rPr>
          <w:rFonts w:ascii="Times New Roman" w:cs="Times New Roman" w:eastAsia="Times New Roman" w:hAnsi="Times New Roman"/>
          <w:sz w:val="18"/>
          <w:szCs w:val="18"/>
          <w:color w:val="auto"/>
        </w:rPr>
        <w:t>. The Company’s authorized equity capitalization is as set forth in the General Disclosure Package and the Prospectus; the capital stock of the Company conforms in all material respects to the description thereof contained in the General Disclosure Package and the Prospectus; the outstanding shares of the Common Stock, 5.250% Series J Cumulative Redeemable Preferred Stock, $0.01 par value per share (“Series J Preferred Stock”), 5.850% Series K Cumulative Redeemable Preferred Stock, $0.01 par value per share (“Series K Preferred Stock”), and 5.200% Series L Cumulative Redeemable Preferred Stock, $0.01 par value per share (“Series L Preferred Stock,” and together with Series J Preferred Stock and Series K Preferred Stock, the “Preferred Stock”), have been duly and validly authorized and issued and are fully paid and nonassessable; no one is entitled to preemptive or other rights to subscribe for the outstanding shares of capital stock of the Company, and, except as set forth in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 all offers and sales by the Company of the Company’s shares of Common Stock and Preferred Stock prior to the date hereof were at all relevant times duly registered under the 1933 Act or were exempt from the registration requirements of the 1933 Act and were duly registered or the subject of an available exemption from the registration requirements of the applicable state securities or blue sky laws. The Company’s Common Stock has been registered pursuant to Section 12(b) of the 1934 Act.</w:t>
      </w:r>
    </w:p>
    <w:p>
      <w:pPr>
        <w:spacing w:after="0" w:line="187" w:lineRule="exact"/>
        <w:rPr>
          <w:rFonts w:ascii="Times New Roman" w:cs="Times New Roman" w:eastAsia="Times New Roman" w:hAnsi="Times New Roman"/>
          <w:sz w:val="18"/>
          <w:szCs w:val="18"/>
          <w:color w:val="auto"/>
        </w:rPr>
      </w:pPr>
    </w:p>
    <w:p>
      <w:pPr>
        <w:ind w:right="20" w:firstLine="987"/>
        <w:spacing w:after="0" w:line="254" w:lineRule="auto"/>
        <w:tabs>
          <w:tab w:leader="none" w:pos="1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Supplementary</w:t>
      </w:r>
      <w:r>
        <w:rPr>
          <w:rFonts w:ascii="Times New Roman" w:cs="Times New Roman" w:eastAsia="Times New Roman" w:hAnsi="Times New Roman"/>
          <w:sz w:val="18"/>
          <w:szCs w:val="18"/>
          <w:color w:val="auto"/>
        </w:rPr>
        <w:t>. The Articles Supplementary have been duly authorized by the Company. At the Closing Time, the Articles Supplementary will have been filed with, and accepted for record by, the State Department of Assessments and Taxation of Maryland (the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have become effective under the Maryland General Corporation Law (the “</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and comply with all applicable requirements under the MGCL. The preferences, rights, voting powers, restrictions, limitations as to dividends, qualifications and terms and conditions of conversion of the Non-Voting Common Stock and the Common Stock issuable upon conversion thereof will be as set forth in the Articles Supplementary and will have been duly established pursuant to the charter of the Company and the MGCL. Upon transfer by the Selling Stockholders pursuant to this Agreement to the Underwriters, the shares of the Non-Voting Common Stock will automatically convert into an equal number of shares of Common Stock in accordance with the Articles Supplementary.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jc w:val="both"/>
        <w:ind w:right="240" w:firstLine="987"/>
        <w:spacing w:after="0" w:line="261" w:lineRule="auto"/>
        <w:tabs>
          <w:tab w:leader="none" w:pos="13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and Sale Agreement</w:t>
      </w:r>
      <w:r>
        <w:rPr>
          <w:rFonts w:ascii="Times New Roman" w:cs="Times New Roman" w:eastAsia="Times New Roman" w:hAnsi="Times New Roman"/>
          <w:sz w:val="18"/>
          <w:szCs w:val="18"/>
          <w:color w:val="auto"/>
        </w:rPr>
        <w:t>. The Purchase and Sale Agreement has been duly authorized, executed and delivered by each of the Company and the Operating Partnership and constitutes a valid and legally binding obligation of each of the Company and the Operating Partnership, enforceable in accordance with its terms, subject to applicable bankruptcy, insolvency, reorganization, moratorium, fraudulent conveyance and other similar laws relating to or affecting creditors’ rights generally and to general principles of equity.</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3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Company and the Operating Partnership.</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3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shares of Non-Voting Common Stock have been duly authorized and at the Closing Time, the shares of the Non-Voting Common Stock will be duly and validly authorized and issued and, assuming receipt by the Company of the Purchased Interests (as defined in the Purchase and Sale Agreement (as defined below)) from the Selling Stockholders in accordance with the Purchase and Sale Agreement, will be fully paid and nonassessable, and the issuance thereof will not be subject to the preemptive rights, rights of first refusal or other similar rights to subscribe for or purchase securities of any securityholder of the Company or any other person or entity. The Securities issuable upon conversion of the Non-Voting Common Stock have been duly authorized and, when issued and delivered upon conversion of the shares of Non-Voting Common Stock in accordance with the terms of the Articles Supplementary, will be validly issued and fully paid and nonassessable, and the issuance thereof will not be subject to any preemptive rights, rights of first refusal or other similar rights to subscribe for or purchase the Common Stock of any securityholder of the Company or any other person or entity.</w:t>
      </w:r>
    </w:p>
    <w:p>
      <w:pPr>
        <w:spacing w:after="0" w:line="188" w:lineRule="exact"/>
        <w:rPr>
          <w:rFonts w:ascii="Times New Roman" w:cs="Times New Roman" w:eastAsia="Times New Roman" w:hAnsi="Times New Roman"/>
          <w:sz w:val="18"/>
          <w:szCs w:val="18"/>
          <w:color w:val="auto"/>
        </w:rPr>
      </w:pPr>
    </w:p>
    <w:p>
      <w:pPr>
        <w:ind w:firstLine="987"/>
        <w:spacing w:after="0" w:line="269" w:lineRule="auto"/>
        <w:tabs>
          <w:tab w:leader="none" w:pos="14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and Description of Units</w:t>
      </w:r>
      <w:r>
        <w:rPr>
          <w:rFonts w:ascii="Times New Roman" w:cs="Times New Roman" w:eastAsia="Times New Roman" w:hAnsi="Times New Roman"/>
          <w:sz w:val="17"/>
          <w:szCs w:val="17"/>
          <w:color w:val="auto"/>
        </w:rPr>
        <w:t>. All of the issued and outstanding units of limited partnership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of the Operating Partnership have been duly and validly authorized and issued by the Operating Partnership and conform in all material respects to the description thereof contained in the General Disclosure Package and the Prospectus. None of the Units was issued in violation of the preemptive or other similar rights of any security holder of the Operating Partnership or any other person or entity. Except as set forth in the General Disclosure Package and the Prospectus or are issued and outstanding as of the date hereof under the First Amended and Restated Digital Realty Trust, Inc., Digital Services, Inc. and Digital Realty Trust, L.P. 2004 Incentive Award Plan, the Digital Realty Trust, Inc., Digital Services, Inc. and Digital Realty Trust, L.P. 2014 Incentive Award Plan or the Digital Realty 2025 Carried Interest Plan, each as amended and as in effect as of the date hereof, there are no outstanding options, warrants or other rights to purchase, agreements or other obligations to issue, or rights to convert any obligations into or exchange any securities or interests for, Units or other ownership interests of the Operating Partnership. The Units owned by the Company (including all outstanding Series J preferred limited partnership units, Series K preferred limited partnership units and Series L preferred limited partnership units in the Operating Partnership) are owned directly by the Company, free and clear of all Liens, except for Liens securing indebtedness as described in the General Disclosure Package and the Prospectus or except where such Liens would not, individually or in the aggregate, reasonably be expected to have a Material Adverse Effect.</w:t>
      </w:r>
    </w:p>
    <w:p>
      <w:pPr>
        <w:spacing w:after="0" w:line="178" w:lineRule="exact"/>
        <w:rPr>
          <w:rFonts w:ascii="Times New Roman" w:cs="Times New Roman" w:eastAsia="Times New Roman" w:hAnsi="Times New Roman"/>
          <w:sz w:val="17"/>
          <w:szCs w:val="17"/>
          <w:color w:val="auto"/>
        </w:rPr>
      </w:pPr>
    </w:p>
    <w:p>
      <w:pPr>
        <w:ind w:right="20" w:firstLine="987"/>
        <w:spacing w:after="0" w:line="255" w:lineRule="auto"/>
        <w:tabs>
          <w:tab w:leader="none" w:pos="14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General Disclosure Package and the Prospectus, no holders of securities of the Company have rights to the registration of such securities under the Registration Statement. Except as set forth in the General Disclosure Package and the Prospectus, there are no contracts, agreements or understandings between the Company or the Operating Partnership and any person granting such person the right to require the Company or the Operating Partnership to file a registration statement under the 1933 Act with respect to any securities of the Company or the Operating Partnership owned or to be owned by such person or to require the Company or the Operating Partnership to include such securities with any securities being registered pursuant to any other registration statement filed by the Company or the Operating Partnership under the 1933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firstLine="987"/>
        <w:spacing w:after="0" w:line="253" w:lineRule="auto"/>
        <w:tabs>
          <w:tab w:leader="none" w:pos="13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Violations, Defaults and Conflicts</w:t>
      </w:r>
      <w:r>
        <w:rPr>
          <w:rFonts w:ascii="Times New Roman" w:cs="Times New Roman" w:eastAsia="Times New Roman" w:hAnsi="Times New Roman"/>
          <w:sz w:val="18"/>
          <w:szCs w:val="18"/>
          <w:color w:val="auto"/>
        </w:rPr>
        <w:t>. Neither the execution and delivery of this Agreement, nor the consummation of any other of the transactions herein or therein contemplated, nor the fulfillment of the terms hereof or thereof by the Company or the Operating Partnership, as applicable, will conflict with, result in a breach or violation of, or imposition of any lien, charge or encumbrance upon any property or assets of the Company or any of its subsidiaries pursuant to (i) any provision of the charter or bylaws of the Company or the organizational or other governing documents of any of the Operating Partnership or any “significant subsidiary” (as defined in Rule 1-02 of Regulation S-X) (the “Significant Subsidiaries”), (ii) any provision of the charter, bylaws or other organizational or governing documents of any subsidiary of the Company (other than the Operating Partnership and the Significant Subsidiaries), (iii) the terms of any indenture, contract, lease, mortgage, deed of trust, note agreement, loan agreement or other agreement, obligation, condition, covenant or instrument to which the Company or any of its subsidiaries is a party or bound or to which its or their property is subject, or (iv)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(iii) or (iv) above, for such conflicts, breaches, violations, liens, charges or encumbrances that would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right="360" w:firstLine="987"/>
        <w:spacing w:after="0" w:line="282" w:lineRule="auto"/>
        <w:tabs>
          <w:tab w:leader="none" w:pos="13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Except as would not reasonably be expected to have a Material Adverse Effect, no labor disruption or dispute with the employees of the Company or any of its subsidiaries exists or, to the best knowledge of the Company, is threatened.</w:t>
      </w:r>
    </w:p>
    <w:p>
      <w:pPr>
        <w:spacing w:after="0" w:line="161" w:lineRule="exact"/>
        <w:rPr>
          <w:rFonts w:ascii="Times New Roman" w:cs="Times New Roman" w:eastAsia="Times New Roman" w:hAnsi="Times New Roman"/>
          <w:sz w:val="18"/>
          <w:szCs w:val="18"/>
          <w:color w:val="auto"/>
        </w:rPr>
      </w:pPr>
    </w:p>
    <w:p>
      <w:pPr>
        <w:ind w:right="160" w:firstLine="987"/>
        <w:spacing w:after="0" w:line="256" w:lineRule="auto"/>
        <w:tabs>
          <w:tab w:leader="none" w:pos="13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stated in the Registration Statement, the General Disclosure Package and the Prospectus, no action, suit or proceeding by or before any court or governmental agency, authority or body or any arbitrator involving the Company or any of its subsidiaries or its or their property is pending or, to the best knowledge of the Company, threatened that (i) would reasonably be expected to have a Material Adverse Effect on the performance of this Agreement, or the consummation of any of the transactions contemplated hereby or (ii) would reasonably be expected to have a Material Adverse Effect, except as set forth in or contemplated in the General Disclosure Package and the Prospectus (exclusive of any supplement thereto).</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all licenses, certificates, permits and other authorizations issued by the appropriate federal, state or foreign regulatory authorities necessary to conduct their respective businesses, except for such licenses, certificates, permits and other authorizations the absence of which would not, individually or in the aggregate, reasonably be expected to have a Material Adverse Effect; and neither the Company nor any such subsidiary has received any notice of proceedings relating to the revocation or modification of any such certificate, authorization or permit which, individually or in the aggregate, if the subject of an unfavorable decision, ruling or finding, would reasonably be expected to have a Material Adverse Effect, except as set forth in or contemplated in the General Disclosure Package and the Prospectus (exclusive of any supplement thereto).</w:t>
      </w:r>
    </w:p>
    <w:p>
      <w:pPr>
        <w:spacing w:after="0" w:line="188" w:lineRule="exact"/>
        <w:rPr>
          <w:rFonts w:ascii="Times New Roman" w:cs="Times New Roman" w:eastAsia="Times New Roman" w:hAnsi="Times New Roman"/>
          <w:sz w:val="18"/>
          <w:szCs w:val="18"/>
          <w:color w:val="auto"/>
        </w:rPr>
      </w:pPr>
    </w:p>
    <w:p>
      <w:pPr>
        <w:ind w:right="40" w:firstLine="987"/>
        <w:spacing w:after="0" w:line="253" w:lineRule="auto"/>
        <w:tabs>
          <w:tab w:leader="none" w:pos="14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Except as otherwise disclosed in the General Disclosure Package and the Prospectus, (i) the Company or its subsidiaries have fee simple title to or leasehold interest in, and have acquired title insurance with respect to, all of the properties described in the General Disclosure Package and the Prospectus as owned or leased by them and the improvements (exclusive of improvements owned by tenants) located thereon (the “Properties”), in each case, free and clear of all liens, encumbrances, claims, security interests, restrictions and defects, except such as are disclosed in the General Disclosure Package and the Prospectus or except such as would not, individually or in the aggregate, reasonably be expected to have a Material Adverse Effect; (ii) neither the Company nor any of its subsidiaries knows of any condemnation which is threatened and which if consummated would reasonably be expected to have a Material Adverse Effect; (iii) each of the Properties complies with all applicable codes, laws and regulations (including without limitation, building and zoning codes, laws and regulations and laws relating to access to the Properties), except as disclosed in the General Disclosure Package and the Prospectus or except for such failures to comply that would not, individually or in the aggregate, reasonably be expected to have a Material Adverse Effect; and (iv) to the knowledge of the Company and the Operating Partnership, except as set forth in or contemplated in the General Disclosure Package and the Prospectus, or as would not, individually or in the aggregate, reasonably be expected to have a Material Adverse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jc w:val="both"/>
        <w:ind w:left="4" w:right="80" w:hanging="4"/>
        <w:spacing w:after="0" w:line="261" w:lineRule="auto"/>
        <w:tabs>
          <w:tab w:leader="none" w:pos="2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uncured events of default, or events that with the giving of notice or passage of time, or both, would constitute an event of default by any tenant under any of the terms and provisions of any lease described in the “Properties” section of the Company’s and the Operating Partnership’s most recently filed Combined Annual Report on Form 10-K, where the tenant has been specifically identified; and (B) no tenant under any of the leases at the Properties has a right of first refusal to purchase the premises demised under such lease.</w:t>
      </w:r>
    </w:p>
    <w:p>
      <w:pPr>
        <w:spacing w:after="0" w:line="179"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“Intellectual Property”) reasonably necessary for the conduct of the Company’s and the Operating Partnership’s business as now conducted or as proposed in the General Disclosure Package and the Prospectus to be conducted. Except as set forth in the General Disclosure Package and the Prospectus or except as would not, individually or in the aggregate, reasonably be expected to have a Material Adverse Effect, (i) to the Company’s and the Operating Partnership’s best knowledge, there is no infringement by third parties of any such Intellectual Property and (ii) there is no pending or, to the Company’s or the Operating Partnership’s best knowledge, threatened action, suit, proceeding or claim by others that the Company or the Operating Partnership infringes or otherwise violates any patent, trademark, copyright, trade secret or other proprietary rights of others, and the Company and the Operating Partnership are unaware of any other fact which would form a reasonable basis for any such claim.</w:t>
      </w:r>
    </w:p>
    <w:p>
      <w:pPr>
        <w:spacing w:after="0" w:line="194" w:lineRule="exact"/>
        <w:rPr>
          <w:rFonts w:ascii="Times New Roman" w:cs="Times New Roman" w:eastAsia="Times New Roman" w:hAnsi="Times New Roman"/>
          <w:sz w:val="18"/>
          <w:szCs w:val="18"/>
          <w:color w:val="auto"/>
        </w:rPr>
      </w:pPr>
    </w:p>
    <w:p>
      <w:pPr>
        <w:ind w:left="4" w:firstLine="987"/>
        <w:spacing w:after="0" w:line="252" w:lineRule="auto"/>
        <w:tabs>
          <w:tab w:leader="none" w:pos="14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under any Environmental Laws, except where such non-compliance with Environmental Laws, failure to receive required permits, licenses or other approvals, or liability would not, individually or in the aggregate, reasonably be expected to have a Material Adverse Effect, or except as set forth in or contemplated in the General Disclosure Package and the Prospectus (exclusive of any supplement thereto). Except as set forth in the General Disclosure Package and the Prospectus, neither the Company nor any of the subsidiaries has been notified that it has been named as a “potentially responsible party” under the Comprehensive Environmental Response, Compensation, and Liability Act of 1980, as amended. Except as otherwise set forth in the General Disclosure Package and the Prospectus, or as would not, individually or in the aggregate, reasonably be expected to have a Material Adverse Effect, to the knowledge of the Company and the Operating Partnership, there have been no and are no (i) aboveground or underground storage tanks;</w:t>
      </w:r>
    </w:p>
    <w:p>
      <w:pPr>
        <w:spacing w:after="0" w:line="3" w:lineRule="exact"/>
        <w:rPr>
          <w:rFonts w:ascii="Times New Roman" w:cs="Times New Roman" w:eastAsia="Times New Roman" w:hAnsi="Times New Roman"/>
          <w:sz w:val="18"/>
          <w:szCs w:val="18"/>
          <w:color w:val="auto"/>
        </w:rPr>
      </w:pPr>
    </w:p>
    <w:p>
      <w:pPr>
        <w:ind w:left="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polychlorinated biphenyls (“PCBs”) or PCB-containing equipment; (iii) asbestos or asbestos-containing materials; (iv) lead-based paints; (v) mold or other airborne contaminants; or (vi) dry-cleaning facilities in, on, under, or about any Property owned by the Company, the Operating Partnership or their subsidiaries.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reasonably be expected to have a Material Adverse Effect, except as set forth in or contemplated in the General Disclosure Package and the Prospectus (exclusive of any supplement thereto).</w:t>
      </w:r>
    </w:p>
    <w:p>
      <w:pPr>
        <w:spacing w:after="0" w:line="179" w:lineRule="exact"/>
        <w:rPr>
          <w:rFonts w:ascii="Times New Roman" w:cs="Times New Roman" w:eastAsia="Times New Roman" w:hAnsi="Times New Roman"/>
          <w:sz w:val="18"/>
          <w:szCs w:val="18"/>
          <w:color w:val="auto"/>
        </w:rPr>
      </w:pPr>
    </w:p>
    <w:p>
      <w:pPr>
        <w:ind w:left="4" w:right="400" w:firstLine="987"/>
        <w:spacing w:after="0" w:line="261" w:lineRule="auto"/>
        <w:tabs>
          <w:tab w:leader="none" w:pos="1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the Company nor any of its subsidiaries maintains or contributes to any “pension plan” (within the meaning of Section 3(2) of the Employee Retirement Income Security Act of 1974, as amended (“ERISA”)) that is subject to Title IV of ERISA or any “multiemployer plan” (within the meaning of Section 4001(a)(3) of ERISA). Each “pension plan” (within the meaning of Section 3(2) of ERISA) maintained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5" w:name="page16"/>
    <w:bookmarkEnd w:id="15"/>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Company or any of its subsidiaries which is intended to be qualified under Section 401(a) of the Internal Revenue Code of 1986, as amended (the “Code”), has received a favorable determination or opinion letter from the Internal Revenue Service that such plan is so qualified, and, to the knowledge of the Company, nothing has occurred, whether by action or failure to act, that would reasonably be expected to cause the loss of such qualification.</w:t>
      </w:r>
    </w:p>
    <w:p>
      <w:pPr>
        <w:spacing w:after="0" w:line="2"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neither the Company nor any of its subsidiaries maintains or is required to contribute to a “welfare plan” (as defined in Section 3(1) of ERISA) which is subject to ERISA and provides retiree or other post-employment welfare benefits or insurance coverage (other than “continuation coverage” (as defined in Section 602 of ERISA) or as otherwise required by applicable law). Each “employee benefit plan” (within the meaning of Section 3(3) of ERISA) sponsored or maintained by the Company and/or one or more of its subsidiaries is in compliance with the currently applicable provisions of ERISA, except for such failures to comply that would not individually or in the aggregate reasonably be expected to have a Material Adverse Effect.</w:t>
      </w:r>
    </w:p>
    <w:p>
      <w:pPr>
        <w:spacing w:after="0" w:line="190" w:lineRule="exact"/>
        <w:rPr>
          <w:sz w:val="20"/>
          <w:szCs w:val="20"/>
          <w:color w:val="auto"/>
        </w:rPr>
      </w:pPr>
    </w:p>
    <w:p>
      <w:pPr>
        <w:ind w:left="4" w:right="100" w:firstLine="987"/>
        <w:spacing w:after="0" w:line="268" w:lineRule="auto"/>
        <w:tabs>
          <w:tab w:leader="none" w:pos="153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its subsidiaries maintain, on a consolidated basis, a system of internal accounting controls over financial reporting (as defined under Rules 13a-15 and 15d-15 under the 1934 Act) sufficient to provide reasonable assurance that (i) transactions are executed in accordance with management’s general or specific authorizations; (ii) transactions are recorded as necessary to permit preparation of consolidated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General Disclosure Package and the Prospectus, since the end of the Company’s and the Operating Partnership’s most recent audited fiscal year, there has been (i) no material weakness in the Company’s internal control over financial reporting (whether or not remediated) and</w:t>
      </w:r>
    </w:p>
    <w:p>
      <w:pPr>
        <w:ind w:left="4" w:right="360" w:hanging="4"/>
        <w:spacing w:after="0" w:line="260"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in the Company’s or the Operating Partnership’s internal control over financial reporting that has materially affected, or is reasonably likely to materially affect, the Company’s or the Operating Partnership’s internal control over financial reporting.</w:t>
      </w:r>
    </w:p>
    <w:p>
      <w:pPr>
        <w:spacing w:after="0" w:line="181" w:lineRule="exact"/>
        <w:rPr>
          <w:rFonts w:ascii="Times New Roman" w:cs="Times New Roman" w:eastAsia="Times New Roman" w:hAnsi="Times New Roman"/>
          <w:sz w:val="18"/>
          <w:szCs w:val="18"/>
          <w:color w:val="auto"/>
        </w:rPr>
      </w:pPr>
    </w:p>
    <w:p>
      <w:pPr>
        <w:jc w:val="both"/>
        <w:ind w:left="4" w:right="180" w:firstLine="987"/>
        <w:spacing w:after="0" w:line="261" w:lineRule="auto"/>
        <w:tabs>
          <w:tab w:leader="none" w:pos="15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provision of the Sarbanes-Oxley Act of 2002, including the establishment and maintenance of disclosure controls and procedures, and the rules and regulations promulgated in connection therewith, including, without limitation,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4" w:firstLine="987"/>
        <w:spacing w:after="0" w:line="255" w:lineRule="auto"/>
        <w:tabs>
          <w:tab w:leader="none" w:pos="1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and each of its subsidiaries has filed all foreign, federal, state and local income tax returns that are required to be filed or has requested extensions thereof (except in any case in which the failure so to file would not reasonably be expected to have a Material Adverse Effect, or except as set forth in or contemplated in the General Disclosure Package and the Prospectus (exclusive of any supplement thereto)) and has paid all income taxes required to be paid by it and any other assessment, fine or penalty levied against it, to the extent that any of the foregoing is due and payable, except for any such tax, assessment, fine or penalty that is currently being contested in good faith or as would not reasonably be expected to have a Material Adverse Effect or except as set forth in or contemplated in the General Disclosure Package and the Prospectus (exclusive of any supplement thereto).</w:t>
      </w:r>
    </w:p>
    <w:p>
      <w:pPr>
        <w:spacing w:after="0" w:line="18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43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are prudent and customary in the businesses in which they are engaged except as would not reasonably be expected to have a Material Adverse Effect; all policies of insurance and fidelity or surety bonds insuring the Company or any of its subsidiaries or their respective businesses, assets, employees, officers and directors are in full force and effect, except as would not reasonably be expected to have a Material Adverse Effect; the Company and its subsidiaries are in compliance with the terms of such policies and instruments, except as would not reasonably be expected to have a Material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6" w:name="page17"/>
    <w:bookmarkEnd w:id="16"/>
    <w:p>
      <w:pPr>
        <w:ind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Adverse Effect; except as would not reasonably be expected to have a Material Adverse Effect,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General Disclosure Package and the Prospectus (exclusive of any supplement thereto).</w:t>
      </w:r>
    </w:p>
    <w:p>
      <w:pPr>
        <w:spacing w:after="0" w:line="173" w:lineRule="exact"/>
        <w:rPr>
          <w:sz w:val="20"/>
          <w:szCs w:val="20"/>
          <w:color w:val="auto"/>
        </w:rPr>
      </w:pPr>
    </w:p>
    <w:p>
      <w:pPr>
        <w:jc w:val="both"/>
        <w:ind w:right="20" w:firstLine="987"/>
        <w:spacing w:after="0" w:line="266"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the Operating Partnership is required to be registered as, nor, after giving effect to the transactions contemplated by this Agreement, will be required to be registered as an “investment company” as defined in the Investment Company Act of 1940, as amended (the “1940 Act”), and the rules and regulations thereunder.</w:t>
      </w:r>
    </w:p>
    <w:p>
      <w:pPr>
        <w:spacing w:after="0" w:line="175" w:lineRule="exact"/>
        <w:rPr>
          <w:rFonts w:ascii="Times New Roman" w:cs="Times New Roman" w:eastAsia="Times New Roman" w:hAnsi="Times New Roman"/>
          <w:sz w:val="18"/>
          <w:szCs w:val="18"/>
          <w:color w:val="auto"/>
        </w:rPr>
      </w:pPr>
    </w:p>
    <w:p>
      <w:pPr>
        <w:ind w:right="40" w:firstLine="987"/>
        <w:spacing w:after="0" w:line="277" w:lineRule="auto"/>
        <w:tabs>
          <w:tab w:leader="none" w:pos="15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Distributions</w:t>
      </w:r>
      <w:r>
        <w:rPr>
          <w:rFonts w:ascii="Times New Roman" w:cs="Times New Roman" w:eastAsia="Times New Roman" w:hAnsi="Times New Roman"/>
          <w:sz w:val="17"/>
          <w:szCs w:val="17"/>
          <w:color w:val="auto"/>
        </w:rPr>
        <w:t>. No subsidiary of the Company is currently prohibited, directly or indirectly, from paying any dividends or distributions to the Company, from making any other distribution on such subsidiary’s capital stock or equity interests, from repaying to the Company any loans or advances to such subsidiary from the Company or from transferring any of such subsidiary’s property or assets to the Company or any other subsidiary of the Company, except pursuant to the terms of any indebtedness as set forth in or contemplated in the General Disclosure Package and the Prospectus (exclusive of any supplement thereto) or as would not reasonably be expected to have a Material Adverse Effect.</w:t>
      </w:r>
    </w:p>
    <w:p>
      <w:pPr>
        <w:spacing w:after="0" w:line="167" w:lineRule="exact"/>
        <w:rPr>
          <w:rFonts w:ascii="Times New Roman" w:cs="Times New Roman" w:eastAsia="Times New Roman" w:hAnsi="Times New Roman"/>
          <w:sz w:val="17"/>
          <w:szCs w:val="17"/>
          <w:color w:val="auto"/>
        </w:rPr>
      </w:pPr>
    </w:p>
    <w:p>
      <w:pPr>
        <w:ind w:right="320" w:firstLine="987"/>
        <w:spacing w:after="0" w:line="261" w:lineRule="auto"/>
        <w:tabs>
          <w:tab w:leader="none" w:pos="15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such affiliate take, directly or indirectly, any action designed to or that would constitute or that would be reasonably expected to cause or result in stabilization or manipulation of the price of any security of the Company to facilitate the sale or resale of any Securities or to result in a violation of Regulation M under the 1934 Act.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5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and the rules and regulations thereunder (“FCPA”), or the U.K. Bribery Act 2010, as may be amended (the “U.K. Bribery Act”), or similar law of any other relevant jurisdiction, or the rules or regulations thereunder; and the Company and its subsidiaries have instituted and maintain policies and procedures designed to ensure, and which are reasonably expected to continue to ensure, continued compliance therewith. To the knowledge of the Company, no part of the proceeds of the sale of the Securities will be used, directly or indirectly, in violation of the FCPA or the U.K. Bribery Act, each as may be amended, or similar law of any other relevant jurisdiction, or the rules or regulations thereunder.</w:t>
      </w:r>
    </w:p>
    <w:p>
      <w:pPr>
        <w:spacing w:after="0" w:line="191" w:lineRule="exact"/>
        <w:rPr>
          <w:rFonts w:ascii="Times New Roman" w:cs="Times New Roman" w:eastAsia="Times New Roman" w:hAnsi="Times New Roman"/>
          <w:sz w:val="18"/>
          <w:szCs w:val="18"/>
          <w:color w:val="auto"/>
        </w:rPr>
      </w:pPr>
    </w:p>
    <w:p>
      <w:pPr>
        <w:ind w:right="80" w:firstLine="987"/>
        <w:spacing w:after="0" w:line="256" w:lineRule="auto"/>
        <w:tabs>
          <w:tab w:leader="none" w:pos="15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applicable financial recordkeeping and reporting requirements and the money laundering statutes and the rules and regulations thereunder and any related or similar rules, regulations or guidelines, issued, administered or enforced by any applicable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7" w:name="page18"/>
    <w:bookmarkEnd w:id="17"/>
    <w:p>
      <w:pPr>
        <w:ind w:firstLine="987"/>
        <w:spacing w:after="0" w:line="269" w:lineRule="auto"/>
        <w:tabs>
          <w:tab w:leader="none" w:pos="156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OFAC</w:t>
      </w:r>
      <w:r>
        <w:rPr>
          <w:rFonts w:ascii="Times New Roman" w:cs="Times New Roman" w:eastAsia="Times New Roman" w:hAnsi="Times New Roman"/>
          <w:sz w:val="17"/>
          <w:szCs w:val="17"/>
          <w:color w:val="auto"/>
        </w:rPr>
        <w:t>. Neither the Company nor any of its subsidiaries nor, to the knowledge of the Company, any director, officer, agent, employee or affiliate of the Company or any of its subsidiaries (a) is, or is controlled or 50% or more owned by or is acting on behalf of, an individual or entity that is currently the subject or the target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the Swiss Secretariat of Economic Affairs, or the United Kingdom (including sanctions administered or enforced by His Majesty’s Treasury) (collectively, “Sanctions”), or (b) is located, organized or resident in a country or territory that is, or whose government is, the subject or target of Sanctions (as of the date of this Agreement, including, without limitation, Cuba, the so-called Donetsk People’s Republic or so-called Luhansk People’s Republic and Crimea region and the non-government controlled areas of the Zaporizhzhia and Kherson regions of Ukraine, Iran and North Korea (each, a “Sanctioned Country”)). Since April 24, 2019, the Company and its subsidiaries, taken as a whole, have conducted their business in material compliance with the Sanctions. The Company and its subsidiaries are not now knowingly engaged in any transactions or dealings with any person, or in any country or territory, in violation of Sanctions.</w:t>
      </w:r>
    </w:p>
    <w:p>
      <w:pPr>
        <w:spacing w:after="0" w:line="181" w:lineRule="exact"/>
        <w:rPr>
          <w:rFonts w:ascii="Times New Roman" w:cs="Times New Roman" w:eastAsia="Times New Roman" w:hAnsi="Times New Roman"/>
          <w:sz w:val="17"/>
          <w:szCs w:val="17"/>
          <w:color w:val="auto"/>
        </w:rPr>
      </w:pPr>
    </w:p>
    <w:p>
      <w:pPr>
        <w:jc w:val="both"/>
        <w:ind w:right="180" w:firstLine="987"/>
        <w:spacing w:after="0" w:line="261" w:lineRule="auto"/>
        <w:tabs>
          <w:tab w:leader="none" w:pos="16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Personal Property</w:t>
      </w:r>
      <w:r>
        <w:rPr>
          <w:rFonts w:ascii="Times New Roman" w:cs="Times New Roman" w:eastAsia="Times New Roman" w:hAnsi="Times New Roman"/>
          <w:sz w:val="18"/>
          <w:szCs w:val="18"/>
          <w:color w:val="auto"/>
        </w:rPr>
        <w:t>. The Company and its subsidiaries have good and marketable title to all personal property owned by them, free and clear of all encumbrances and defects, and all personal property held under lease by the Company or any subsidiary is held by it under valid, subsisting and enforceable leases, except as, in each case, would not, individually or in the aggregate, reasonably be expected to have a Material Adverse Effect or as set forth in the General Disclosure Package and the Prospectus.</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6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Actively-Traded Security</w:t>
      </w:r>
      <w:r>
        <w:rPr>
          <w:rFonts w:ascii="Times New Roman" w:cs="Times New Roman" w:eastAsia="Times New Roman" w:hAnsi="Times New Roman"/>
          <w:sz w:val="18"/>
          <w:szCs w:val="18"/>
          <w:color w:val="auto"/>
        </w:rPr>
        <w:t>. The Common Stock is an “actively-traded security” exempted from the requirements of Rule 101 of Regulation M under the 1934 Act by subsection (c)(1) of such rule.</w:t>
      </w:r>
    </w:p>
    <w:p>
      <w:pPr>
        <w:spacing w:after="0" w:line="161" w:lineRule="exact"/>
        <w:rPr>
          <w:rFonts w:ascii="Times New Roman" w:cs="Times New Roman" w:eastAsia="Times New Roman" w:hAnsi="Times New Roman"/>
          <w:sz w:val="18"/>
          <w:szCs w:val="18"/>
          <w:color w:val="auto"/>
        </w:rPr>
      </w:pPr>
    </w:p>
    <w:p>
      <w:pPr>
        <w:ind w:right="20" w:firstLine="987"/>
        <w:spacing w:after="0" w:line="252" w:lineRule="auto"/>
        <w:tabs>
          <w:tab w:leader="none" w:pos="1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 To the knowledge of the Company, there has been no security breach, unauthorized access or disclosure of the Company’s or its controlled subsidiaries’ information technology and computer systems, networks, hardware, software, data and databases (including the data and information of their respective customers, employees, suppliers, vendors and any third party data maintained, processed or stored by the Company and its controlled subsidiaries, and any such data processed or stored by third parties on behalf of the Company and its controlled subsidiaries), equipment or technology (collectively, “IT Systems and Data”); (B) neither the Company nor its controlled subsidiaries have been notified of, and have no knowledge of any event or condition that would result in, any security breach, unauthorized access or disclosure to their IT Systems and Data and (C) the Company and its controlled subsidiaries have implemented controls, policies, procedures, and technological safeguards consistent with industry practice to maintain and protect the integrity, continuous operation, redundancy and security of their IT Systems and Data reasonably consistent with industry standards and practices, or as required by applicable regulatory standards, except with respect to clauses (A) and (B), for any such security breach, unauthorized access or disclosure, as would not, individually or in the aggregate, have a Material Adverse Effect, or with respect to clause (C), where the failure to do so would not, individually or in the aggregate, have a Material Adverse Effect. The Company and its controlled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9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Related Person Transactions</w:t>
      </w:r>
      <w:r>
        <w:rPr>
          <w:rFonts w:ascii="Times New Roman" w:cs="Times New Roman" w:eastAsia="Times New Roman" w:hAnsi="Times New Roman"/>
          <w:sz w:val="18"/>
          <w:szCs w:val="18"/>
          <w:color w:val="auto"/>
        </w:rPr>
        <w:t>. No relationship, direct or indirect, exists between or among the Company or its subsidiaries on the one hand, and the directors, officers, or shareholders of the Company on the other hand, which is required to be described in the General Disclosure Package and the Prospectus and which is not so described.</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REIT Qualification</w:t>
      </w:r>
      <w:r>
        <w:rPr>
          <w:rFonts w:ascii="Times New Roman" w:cs="Times New Roman" w:eastAsia="Times New Roman" w:hAnsi="Times New Roman"/>
          <w:sz w:val="18"/>
          <w:szCs w:val="18"/>
          <w:color w:val="auto"/>
        </w:rPr>
        <w:t>. Commencing with its taxable year ended December 31, 2004, the Company has been organized and has operated in conformity with the requirements for qualification and taxation as a real estate investment trust (a “REIT”) under the Code, and its proposed method of operation will enable it to meet the requirements for qualification and taxation as a REIT under the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Classification of the Operating Partnership</w:t>
      </w:r>
      <w:r>
        <w:rPr>
          <w:rFonts w:ascii="Times New Roman" w:cs="Times New Roman" w:eastAsia="Times New Roman" w:hAnsi="Times New Roman"/>
          <w:sz w:val="18"/>
          <w:szCs w:val="18"/>
          <w:color w:val="auto"/>
        </w:rPr>
        <w:t>. The Operating Partnership is and has been at all times classified as a partnership or disregarded entity, and not as an association or partnership taxable as a corporation, for U.S. federal income tax purposes.</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Offering Material</w:t>
      </w:r>
      <w:r>
        <w:rPr>
          <w:rFonts w:ascii="Times New Roman" w:cs="Times New Roman" w:eastAsia="Times New Roman" w:hAnsi="Times New Roman"/>
          <w:sz w:val="18"/>
          <w:szCs w:val="18"/>
          <w:color w:val="auto"/>
        </w:rPr>
        <w:t>. The Company and the Operating Partnership and each of their subsidiaries (including any predecessor entities) have not distributed, and prior to the Closing Time, will not distribute, any offering material in connection with the offering or sale of the Securities other than the Registration Statement and the Prospectus or any other materials, if any, permitted by the 1933 Act.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agency or body is necessary or required for the performance by the Company or the Operating Partnership of their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New York Stock Exchange, state securities laws or the rules of Financial Industry Regulatory Authority, Inc. (“FINRA”).</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other authorized signatory of the Company or the Operating Partnership and delivered to the Representatives or to counsel for the Representatives shall be deemed a representation and warranty by the Company or the Operating Partnership, as applicable, to the Representatives as to the matters covered thereby.</w:t>
      </w:r>
    </w:p>
    <w:p>
      <w:pPr>
        <w:spacing w:after="0" w:line="174" w:lineRule="exact"/>
        <w:rPr>
          <w:sz w:val="20"/>
          <w:szCs w:val="20"/>
          <w:color w:val="auto"/>
        </w:rPr>
      </w:pPr>
    </w:p>
    <w:p>
      <w:pPr>
        <w:ind w:right="20" w:firstLine="436"/>
        <w:spacing w:after="0" w:line="284"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Selling Stockholders</w:t>
      </w:r>
      <w:r>
        <w:rPr>
          <w:rFonts w:ascii="Times New Roman" w:cs="Times New Roman" w:eastAsia="Times New Roman" w:hAnsi="Times New Roman"/>
          <w:sz w:val="18"/>
          <w:szCs w:val="18"/>
          <w:color w:val="auto"/>
        </w:rPr>
        <w:t>. Each Selling Stockholder, severally and not jointly, represents and warrants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with each of the Underwriters that:</w:t>
      </w:r>
    </w:p>
    <w:p>
      <w:pPr>
        <w:spacing w:after="0" w:line="160" w:lineRule="exact"/>
        <w:rPr>
          <w:rFonts w:ascii="Times New Roman" w:cs="Times New Roman" w:eastAsia="Times New Roman" w:hAnsi="Times New Roman"/>
          <w:sz w:val="18"/>
          <w:szCs w:val="18"/>
          <w:color w:val="auto"/>
        </w:rPr>
      </w:pPr>
    </w:p>
    <w:p>
      <w:pPr>
        <w:ind w:right="60" w:firstLine="987"/>
        <w:spacing w:after="0" w:line="254" w:lineRule="auto"/>
        <w:tabs>
          <w:tab w:leader="none" w:pos="12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Except (i) as will have been obtained on or prior to the Closing Time for the registration under the 1933 Act of the Securities; (ii) as may be required under foreign or state securities (or Blue Sky) laws or by FINRA or by NYSE in connection with the purchase and distribution of the Securities by the Underwriters; and (iii) as would not impair in any material respect the ability of such Selling Stockholder to consummate its obligations hereunder, all filings, consents, approvals, authorizations, licenses, registration, qualifications, orders and decrees necessary for the execution and delivery by such Selling Stockholder of this Agreement and for the sale and delivery of the Securities to be sold by such Selling Stockholder hereunder, have been obtained or will be obtained on or prior to the Closing Time; and such Selling Stockholder has full right, power and authority to enter into this Agreement and has or will have at the Closing Time, full right, power and authority to sell, assign, transfer and deliver the Securities to be sold by such Selling Stockholder hereunder.</w:t>
      </w:r>
    </w:p>
    <w:p>
      <w:pPr>
        <w:spacing w:after="0" w:line="191" w:lineRule="exact"/>
        <w:rPr>
          <w:rFonts w:ascii="Times New Roman" w:cs="Times New Roman" w:eastAsia="Times New Roman" w:hAnsi="Times New Roman"/>
          <w:sz w:val="18"/>
          <w:szCs w:val="18"/>
          <w:color w:val="auto"/>
        </w:rPr>
      </w:pPr>
    </w:p>
    <w:p>
      <w:pPr>
        <w:ind w:right="140" w:firstLine="987"/>
        <w:spacing w:after="0" w:line="253" w:lineRule="auto"/>
        <w:tabs>
          <w:tab w:leader="none" w:pos="12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The sale of the Securities to be sold by such Selling Stockholder hereunder and the compliance by such Selling Stockholder with this Agreement and the consummation of the transactions contemplated herein and in the General Disclosure Package will not (i) conflict with or result in a breach or violation of any of the terms or provisions of, or constitute a default under, any statute, indenture, mortgage, deed of trust, loan agreement or other agreement or instrument to which such Selling Stockholder is a party or by which such Selling Stockholder is bound or to which any of the property or assets of such Selling Stockholder is subject, (ii) result in any violation of the provisions of the certificate of limited partnership, limited partnership agreement or other organizational or governing documents of such Selling Stockholder or (iii) result in any violation of any statute or any order, rule or regulation of any court or governmental agency or body or other authority having jurisdiction over such Selling Stockholder or any property or assets of such Selling Stockholder; except in the case of (i) and (iii), as would not, individually or in the aggregate, reasonably be expected to materially impact such Selling Stockholder’s ability to perform its obligations under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left="4" w:firstLine="987"/>
        <w:spacing w:after="0" w:line="256" w:lineRule="auto"/>
        <w:tabs>
          <w:tab w:leader="none" w:pos="13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Valid Title and Encumbrances</w:t>
      </w:r>
      <w:r>
        <w:rPr>
          <w:rFonts w:ascii="Times New Roman" w:cs="Times New Roman" w:eastAsia="Times New Roman" w:hAnsi="Times New Roman"/>
          <w:sz w:val="18"/>
          <w:szCs w:val="18"/>
          <w:color w:val="auto"/>
        </w:rPr>
        <w:t>. With respect to any shares of Non-Voting Common Stock to be sold by such Selling Stockholder, at the Closing Time such Selling Stockholder will have valid title to, or a valid “security entitlement” within the meaning of Section 8-501 of the New York Uniform Commercial Code (the “UCC”) in respect of, such Non-Voting Common Stock, free and clear of all security interests, claims, liens, equities or other encumbrances and the legal right and power, and all authorization and approval required by law, to enter into this Agreement, to effect the conversion of such Non-Voting Common Stock into Securities in accordance with the Articles Supplementary and to sell, transfer and deliver the Securities issuable upon conversion (or a security entitlement in respect of such Securities).</w:t>
      </w:r>
    </w:p>
    <w:p>
      <w:pPr>
        <w:spacing w:after="0" w:line="187"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Holdings</w:t>
      </w:r>
      <w:r>
        <w:rPr>
          <w:rFonts w:ascii="Times New Roman" w:cs="Times New Roman" w:eastAsia="Times New Roman" w:hAnsi="Times New Roman"/>
          <w:sz w:val="18"/>
          <w:szCs w:val="18"/>
          <w:color w:val="auto"/>
        </w:rPr>
        <w:t>. Except as set forth in the General Disclosure Package and the Prospectus, none of such Selling Stockholder or any controlled affiliate of such Selling Stockholder or any person in privity with such Selling Stockholder or any controlled affiliate of the Selling Stockholder own of record or beneficially any shares of Common Stock or limited partnership units of the Operating Partnership, or any securities convertible into, or exercisable, or exchangeable for any of the foregoing.</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Upon payment for the securities to be sold by such Selling Stockholder pursuant to this Agreement, delivery of such securities, as directed by the Underwriters, to Cede &amp; Co. (“Cede”) or such other nominee as may be designated by the Depository Trust Company (“DTC”), registration of such Securities in the name of Cede or such other nominee and the crediting of such Securities on the books of DTC to securities accounts of the Underwriters (assuming that neither DTC nor any such Underwriter has notice of any adverse claim (within the meaning of Section 8-105 of the UCC) to such Securities),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asserted against the Underwriters with respect to such security entitlement; for purposes of this representation, such Selling Stockholder may assume that when such payment, delivery and crediting occur,</w:t>
      </w:r>
    </w:p>
    <w:p>
      <w:pPr>
        <w:jc w:val="both"/>
        <w:ind w:left="4" w:hanging="4"/>
        <w:spacing w:after="0" w:line="253"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88"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Manipulation</w:t>
      </w:r>
      <w:r>
        <w:rPr>
          <w:rFonts w:ascii="Times New Roman" w:cs="Times New Roman" w:eastAsia="Times New Roman" w:hAnsi="Times New Roman"/>
          <w:sz w:val="18"/>
          <w:szCs w:val="18"/>
          <w:color w:val="auto"/>
        </w:rPr>
        <w:t>. Such Selling Stockholder has not taken and will not take, directly or indirectly, any action that is designed to or that has constituted or might reasonably be expected to cause or result in unlawful stabilization or manipulation of the price of any security of the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35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Disclosure</w:t>
      </w:r>
      <w:r>
        <w:rPr>
          <w:rFonts w:ascii="Times New Roman" w:cs="Times New Roman" w:eastAsia="Times New Roman" w:hAnsi="Times New Roman"/>
          <w:sz w:val="18"/>
          <w:szCs w:val="18"/>
          <w:color w:val="auto"/>
        </w:rPr>
        <w:t>. To the extent that any statements or omissions made in the Registration Statement, the General Disclosure Package, each broadly available road show, if any (when considered together with the General Disclosure Package) or the Prospectus is (including, with respect to the General Disclosure Package, at the time of each sale of the Securities in connection with the offering when the Prospectus is not yet available to prospective purchasers) are made in reliance upon and in conformity with the Selling Stockholder Information (as defined below), such Registration Statement, General Disclosure Package, Prospectus, each broadly available road show, if any, and any further amendments or supplements thereto will not, when they become effective or are filed with the Commission, as the case may be, contain any untrue statement of a material fact or omit to state any material fact required to be stated therein or necessary to make the statements therein not misleading. “Selling Stockholder Information” consists solely of the information with respect to such Selling Stockholder in the beneficial ownership table and related footnotes under the caption “Selling Stockholders” in the General Disclosure Package and the Prospectus.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 w:name="page21"/>
    <w:bookmarkEnd w:id="20"/>
    <w:p>
      <w:pPr>
        <w:ind w:left="-40" w:right="120" w:firstLine="987"/>
        <w:spacing w:after="0" w:line="261" w:lineRule="auto"/>
        <w:tabs>
          <w:tab w:leader="none" w:pos="13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W-9</w:t>
      </w:r>
      <w:r>
        <w:rPr>
          <w:rFonts w:ascii="Times New Roman" w:cs="Times New Roman" w:eastAsia="Times New Roman" w:hAnsi="Times New Roman"/>
          <w:sz w:val="18"/>
          <w:szCs w:val="18"/>
          <w:color w:val="auto"/>
        </w:rPr>
        <w:t>. In order to document the Underwriters’ compliance with the reporting and withholding provisions of the Tax Equity and Fiscal Responsibility Act of 1982 with respect to the transactions herein contemplated, such Selling Stockholder will deliver to you prior to or at the Closing Time a properly completed and executed United States Treasury Department Form W-9 (or other applicable form or statement specified by Treasury Department regulations in lieu thereof).</w:t>
      </w:r>
    </w:p>
    <w:p>
      <w:pPr>
        <w:spacing w:after="0" w:line="179" w:lineRule="exact"/>
        <w:rPr>
          <w:rFonts w:ascii="Times New Roman" w:cs="Times New Roman" w:eastAsia="Times New Roman" w:hAnsi="Times New Roman"/>
          <w:sz w:val="18"/>
          <w:szCs w:val="18"/>
          <w:color w:val="auto"/>
        </w:rPr>
      </w:pPr>
    </w:p>
    <w:p>
      <w:pPr>
        <w:ind w:left="-40" w:firstLine="987"/>
        <w:spacing w:after="0" w:line="261"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of Selling Stockholder</w:t>
      </w:r>
      <w:r>
        <w:rPr>
          <w:rFonts w:ascii="Times New Roman" w:cs="Times New Roman" w:eastAsia="Times New Roman" w:hAnsi="Times New Roman"/>
          <w:sz w:val="18"/>
          <w:szCs w:val="18"/>
          <w:color w:val="auto"/>
        </w:rPr>
        <w:t>. The obligations of such Selling Stockholder hereunder shall not be terminated by operation of law, whether by the dissolution of such Selling Stockholder or by the occurrence of any other event; if such Selling Stockholder shall be dissolved, or if any other such event should occur, before the delivery of the Securities to be sold by such Selling Stockholder hereunder, such Securities shall be delivered by or on behalf of such Selling Stockholder in accordance with the terms and conditions of this Agreement.</w:t>
      </w:r>
    </w:p>
    <w:p>
      <w:pPr>
        <w:spacing w:after="0" w:line="179" w:lineRule="exact"/>
        <w:rPr>
          <w:rFonts w:ascii="Times New Roman" w:cs="Times New Roman" w:eastAsia="Times New Roman" w:hAnsi="Times New Roman"/>
          <w:sz w:val="18"/>
          <w:szCs w:val="18"/>
          <w:color w:val="auto"/>
        </w:rPr>
      </w:pPr>
    </w:p>
    <w:p>
      <w:pPr>
        <w:ind w:left="-40" w:right="20" w:firstLine="987"/>
        <w:spacing w:after="0" w:line="255" w:lineRule="auto"/>
        <w:tabs>
          <w:tab w:leader="none" w:pos="12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 OFAC and FCPA</w:t>
      </w:r>
      <w:r>
        <w:rPr>
          <w:rFonts w:ascii="Times New Roman" w:cs="Times New Roman" w:eastAsia="Times New Roman" w:hAnsi="Times New Roman"/>
          <w:sz w:val="18"/>
          <w:szCs w:val="18"/>
          <w:color w:val="auto"/>
        </w:rPr>
        <w:t>. Such Selling Stockholder will not directly or knowingly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applicable Sanctions, or in any other manner that will result in a violation by any person (including any person participating in the transaction, whether as underwriter, advisor, investor or otherwise) of applicable Sanctions, or (ii) in furtherance of an offer, payment, promise to pay, or authorization of the payment or giving of money, or anything else of value, to any person in violation of any applicable Money Laundering Laws, the FCPA, the U.K. Bribery Act, or any other applicable anti-corruption or anti-bribery laws or statutes.</w:t>
      </w:r>
    </w:p>
    <w:p>
      <w:pPr>
        <w:spacing w:after="0" w:line="188"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Such Selling Stockholder represents and warrants that it is not (i) an employee benefit plan subject to Title I of ERISA, (ii) a plan or account subject to Section 4975 of the Internal Revenue Code of 1986, as amended or (iii) an entity deemed to hold “plan assets” of any such plan or account under Section 3(42) of ERISA, 29 C.F.R. 2510.3-101, or otherwise.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 w:firstLine="436"/>
        <w:spacing w:after="0" w:line="256" w:lineRule="auto"/>
        <w:tabs>
          <w:tab w:leader="none" w:pos="6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agrees, severally and not jointly, to sell to each Underwriter the number of Securities set forth in Schedule B opposite the name of such Selling Stockholder, and each Underwriter, severally and not jointly, agrees to purchase from the Selling Stockholders, at the price per share set forth in Schedule A (the “Purchase Price”), that number of Securities set forth in Schedule A opposite the name of such Underwriter, plus any additional number of Securities which such Underwriter may become obligated to purchase pursuant to the provisions of Section 11 hereof, subject, in each case, to such adjustments among the Underwriters as the Representatives in their sole discretion shall make to eliminate any sales or purchases of fractional shares.</w:t>
      </w:r>
    </w:p>
    <w:p>
      <w:pPr>
        <w:spacing w:after="0" w:line="182"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the Securities shall be made against delivery of such Securities for the respective accounts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at 9:00 A.M. (New York City time) on the first (second,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Selling Stockholders (such time and date of payment and delivery being herein called “Closing Time”). Delivery of such Securities (being shares of Common Stock issuable upon conversion of the Non-Voting Common Stock in accordance with the Articles Supplementary, which conversion shall be effected automatically upon transfer of such Non-Voting Common Stock to the Underwriters pursuant to this Agreement) shall be made to the Representatives through the facilities of DTC for the respective accounts of the Underwriters by causing DTC to credit the respective accounts of the Underwriters at DTC with shares of Common Stock. Each Selling Stockholder agrees to take, and to cooperate with the Company and its transfer agent to take, all steps reasonably necessary to ensure that such conversion is given effect at or prior to the Closing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80" w:top="270" w:right="479" w:bottom="1440" w:gutter="0" w:footer="0" w:header="0"/>
        </w:sectPr>
      </w:pPr>
    </w:p>
    <w:bookmarkStart w:id="21" w:name="page22"/>
    <w:bookmarkEnd w:id="21"/>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shall be made to the applicable Selling Stockholder by wire transfer of immediately available funds to the bank account(s) designated by the respective Selling Stockholder against delivery to the Representatives for the respective accounts of the Underwriters the Securities as provided in the immediately preceding sentence. It is understood that each Underwriter has authorized the Representatives, for its account, to accept delivery of, receipt for, and make payment of the Purchase Price for, the Securities that it has agreed to purchase. The Representatives, individually and not as representative of the Underwriters, may (but shall not be obligated to) make payment of the Purchase Price for the Securities to be purchased by any Underwriter whose funds have not been received by the Closing Time, but such payment shall not relieve such Underwriter from its obligations hereunder.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and the Operating Partnership covenant with each Underwriter as follows:</w:t>
      </w:r>
    </w:p>
    <w:p>
      <w:pPr>
        <w:spacing w:after="0" w:line="223" w:lineRule="exact"/>
        <w:rPr>
          <w:sz w:val="20"/>
          <w:szCs w:val="20"/>
          <w:color w:val="auto"/>
        </w:rPr>
      </w:pPr>
    </w:p>
    <w:p>
      <w:pPr>
        <w:ind w:right="20" w:firstLine="436"/>
        <w:spacing w:after="0" w:line="253"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notify the Representatives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and the Operating Partnership will make every reasonable effort to prevent the issuance of any stop order, prevention or suspension and, if any such order is issued, to obtain the lifting thereof at the earliest possible moment.</w:t>
      </w:r>
    </w:p>
    <w:p>
      <w:pPr>
        <w:spacing w:after="0" w:line="18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and the 1933 Act Regulations so as to permit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90" w:lineRule="exact"/>
        <w:rPr>
          <w:sz w:val="20"/>
          <w:szCs w:val="20"/>
          <w:color w:val="auto"/>
        </w:rPr>
      </w:pPr>
    </w:p>
    <w:p>
      <w:pPr>
        <w:ind w:right="80" w:firstLine="436"/>
        <w:spacing w:after="0" w:line="25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Representatives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Securities for offering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rFonts w:ascii="Times New Roman" w:cs="Times New Roman" w:eastAsia="Times New Roman" w:hAnsi="Times New Roman"/>
          <w:sz w:val="18"/>
          <w:szCs w:val="18"/>
          <w:color w:val="auto"/>
        </w:rPr>
      </w:pPr>
    </w:p>
    <w:p>
      <w:pPr>
        <w:ind w:firstLine="436"/>
        <w:spacing w:after="0" w:line="267"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Securities on the New York Stock Exchange.</w:t>
      </w:r>
    </w:p>
    <w:p>
      <w:pPr>
        <w:spacing w:after="0" w:line="225" w:lineRule="exact"/>
        <w:rPr>
          <w:rFonts w:ascii="Times New Roman" w:cs="Times New Roman" w:eastAsia="Times New Roman" w:hAnsi="Times New Roman"/>
          <w:sz w:val="18"/>
          <w:szCs w:val="18"/>
          <w:color w:val="auto"/>
        </w:rPr>
      </w:pPr>
    </w:p>
    <w:p>
      <w:pPr>
        <w:ind w:right="140" w:firstLine="436"/>
        <w:spacing w:after="0" w:line="267"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Reserve</w:t>
      </w:r>
      <w:r>
        <w:rPr>
          <w:rFonts w:ascii="Times New Roman" w:cs="Times New Roman" w:eastAsia="Times New Roman" w:hAnsi="Times New Roman"/>
          <w:sz w:val="18"/>
          <w:szCs w:val="18"/>
          <w:color w:val="auto"/>
        </w:rPr>
        <w:t>. The Company will reserve and keep available at all times, free of preemptive rights, a sufficient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Common Stock for the purpose of enabling the Company to satisfy any obligation to issue the Securities upon conversion of an equal number of shares of Non-Voting Common Stock in accordance with the terms of the Articles Supplementary.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ind w:left="4" w:firstLine="436"/>
        <w:spacing w:after="0" w:line="251" w:lineRule="auto"/>
        <w:tabs>
          <w:tab w:leader="none" w:pos="6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 on Sale of Securities</w:t>
      </w:r>
      <w:r>
        <w:rPr>
          <w:rFonts w:ascii="Times New Roman" w:cs="Times New Roman" w:eastAsia="Times New Roman" w:hAnsi="Times New Roman"/>
          <w:sz w:val="18"/>
          <w:szCs w:val="18"/>
          <w:color w:val="auto"/>
        </w:rPr>
        <w:t>. Neither the Company nor the Operating Partnership will, without the prior written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offer, sell, contract to sell, pledge, or otherwise dispose of (or enter into any transaction which is designed to, or would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under the 1933 Act (except for a registration statement on Form S-4 relating to an acquisition of a real property company or a registration statement on Form S-8 (including any amendments or supplements thereto) in connection with shares of Common Stock authorized for issuance pursuant to the terms of any plan in effect as of the date of the Prospectus) with the Commission in respect of, or establish or increase a put equivalent position or liquidate or decrease a call equivalent position within the meaning of Section 16 of the 1934 Act, any shares of Common Stock, limited partnership units of the Operating Partnership, or any securities convertible into, or exercisable, or exchangeable for, any of the foregoing, or publicly announce an intention to effect any such transaction, until 30 days after the date of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(i) grant stock options, restricted stock, restricted stock units or long-term incentive units in the Operating Partnership (“LTIP Units”) to employees, consultants or directors pursuant to the terms of a plan in effect as of the date of the Prospectus, (ii) issue Common Stock or Operating Partnership units, as applicable pursuant to: (A) the exercise, vesting, settlement, conversion or redemption, as applicable, of such options, restricted stock units and LTIP Units; (B) the redemption of Units outstanding on the date of the Prospectus, including Units issued upon conversion of LTIP Units outstanding on the date of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will notify the Representatives promptly in writing upon receipt by the Company or the Operating Partnership of any notice of redemption with respect to such Units (other than with respect to the redemption of LTIP Units); or (C) the exercise, vesting, settlement, conversion or redemption, as applicable, of any stock options, restricted stock units or LTIP Units outstanding as of the date of the Prospectus, (iii) issue Common Stock pursuant to the Company’s dividend reinvestment plan (if any), (iv) issue Common Stock pursuant to the Company’s employee stock purchase plan (if any), (v) issue (x) Common Stock or securities convertible into or exchangeable or exercisable for shares of Common Stock in connection with other acquisitions of real property or real property companies and</w:t>
      </w:r>
    </w:p>
    <w:p>
      <w:pPr>
        <w:spacing w:after="0" w:line="10" w:lineRule="exact"/>
        <w:rPr>
          <w:rFonts w:ascii="Times New Roman" w:cs="Times New Roman" w:eastAsia="Times New Roman" w:hAnsi="Times New Roman"/>
          <w:sz w:val="18"/>
          <w:szCs w:val="18"/>
          <w:color w:val="auto"/>
        </w:rPr>
      </w:pPr>
    </w:p>
    <w:p>
      <w:pPr>
        <w:jc w:val="both"/>
        <w:ind w:left="4" w:right="80" w:hanging="4"/>
        <w:spacing w:after="0" w:line="253"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upon conversion or exchange of any securities issued pursuant to (v)(x) above, (vi) file shelf registration statements (including any amendments or supplements thereto) in connection with existing contractual commitments, (vii) issue shares of Common Stock upon the conversion of any of the Company’s perpetual preferred stock pursuant to a delisting change of control transaction, and (viii) issue Common Stock in connection with the Columbia Capital transaction described in the “Recent Developments” section of the Prospectus.</w:t>
      </w:r>
    </w:p>
    <w:p>
      <w:pPr>
        <w:spacing w:after="0" w:line="186" w:lineRule="exact"/>
        <w:rPr>
          <w:rFonts w:ascii="Times New Roman" w:cs="Times New Roman" w:eastAsia="Times New Roman" w:hAnsi="Times New Roman"/>
          <w:sz w:val="18"/>
          <w:szCs w:val="18"/>
          <w:color w:val="auto"/>
        </w:rPr>
      </w:pPr>
    </w:p>
    <w:p>
      <w:pPr>
        <w:jc w:val="both"/>
        <w:ind w:left="4" w:right="120" w:firstLine="436"/>
        <w:spacing w:after="0" w:line="267"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172, would be) required to be delivered under 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left="4" w:firstLine="436"/>
        <w:spacing w:after="0" w:line="270" w:lineRule="auto"/>
        <w:tabs>
          <w:tab w:leader="none" w:pos="69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Prospectuses</w:t>
      </w:r>
      <w:r>
        <w:rPr>
          <w:rFonts w:ascii="Times New Roman" w:cs="Times New Roman" w:eastAsia="Times New Roman" w:hAnsi="Times New Roman"/>
          <w:sz w:val="17"/>
          <w:szCs w:val="17"/>
          <w:color w:val="auto"/>
        </w:rPr>
        <w:t>. Each of the Company and the Operating Partnership agrees that, unless it obtains the prior written consent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Representatives,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C-2 hereto and any “road show that is a written communication” within the meaning of Rule 433(d)(8)(i) that has been reviewed by the Representatives. Each of the Company and the Operating Partnership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8" w:right="459" w:bottom="1440" w:gutter="0" w:footer="0" w:header="0"/>
        </w:sectPr>
      </w:pPr>
    </w:p>
    <w:bookmarkStart w:id="24" w:name="page25"/>
    <w:bookmarkEnd w:id="2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8" w:lineRule="exact"/>
        <w:rPr>
          <w:sz w:val="20"/>
          <w:szCs w:val="20"/>
          <w:color w:val="auto"/>
        </w:rPr>
      </w:pPr>
    </w:p>
    <w:p>
      <w:pPr>
        <w:ind w:right="260" w:firstLine="436"/>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Regarding Beneficial Owners</w:t>
      </w:r>
      <w:r>
        <w:rPr>
          <w:rFonts w:ascii="Times New Roman" w:cs="Times New Roman" w:eastAsia="Times New Roman" w:hAnsi="Times New Roman"/>
          <w:sz w:val="18"/>
          <w:szCs w:val="18"/>
          <w:color w:val="auto"/>
        </w:rPr>
        <w:t>. The Company will deliver to the Representatives, on the date of execution of this Agreement,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8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Covenants of the Selling Stockholders</w:t>
      </w:r>
      <w:r>
        <w:rPr>
          <w:rFonts w:ascii="Times New Roman" w:cs="Times New Roman" w:eastAsia="Times New Roman" w:hAnsi="Times New Roman"/>
          <w:sz w:val="18"/>
          <w:szCs w:val="18"/>
          <w:color w:val="auto"/>
        </w:rPr>
        <w:t>. Each Selling Stockholder, severally and not jointly, covenants with each Underwriter as follows:</w:t>
      </w:r>
    </w:p>
    <w:p>
      <w:pPr>
        <w:spacing w:after="0" w:line="162" w:lineRule="exact"/>
        <w:rPr>
          <w:sz w:val="20"/>
          <w:szCs w:val="20"/>
          <w:color w:val="auto"/>
        </w:rPr>
      </w:pPr>
    </w:p>
    <w:p>
      <w:pPr>
        <w:ind w:right="240" w:firstLine="436"/>
        <w:spacing w:after="0" w:line="28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will deliver to each Underwriter (or its agent), prior to or at the Closing Time, a properly completed and executed Internal Revenue Service (“IRS”) Form W-9 or an IRS Form W-8, as appropriate, together with all required attachments to such form.</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will deliver to each Underwriter (or its agent), on the date of execution of this Agreement, a properly completed and executed Certification Regarding Beneficial Owners of Legal Entity Customers, together with copies of identifying documentation, and each Selling Stockholder undertakes to provide such additional supporting documentation as each Underwriter may reasonably request in connection with the verification of the foregoing certification.</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in which a prospectus relating to the Securities is required to be delivered under the 1933 Act (including in circumstances where such requirement may be satisfied pursuant to Rule 172), each Selling Stockholder agrees to promptly notify the Representatives and the Company of any change in the Selling Stockholder Information relating to such Selling Stockholder that is or becomes materially misleading or incorrect or that would cause the Selling Stockholder Information as set forth in the Registration Statement, the General Disclosure Package or the Prospectus to contain any untrue statement of a material fact or to omit to state any material fact necessary to make the statements therein, in light of the circumstances under which they were made, not misleading. Each Selling Stockholder further agrees to cooperate fully with the Company and the Representatives in connection with any amendment or supplement to the Registration Statement, the General Disclosure Package or the Prospectus that may be required as a result of any such change.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436"/>
        <w:spacing w:after="0" w:line="254"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including all Commission registration fees in connection with the offering of the Securities,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security entitlements for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5" w:name="page26"/>
    <w:bookmarkEnd w:id="25"/>
    <w:p>
      <w:pPr>
        <w:ind w:left="4"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Securities,</w:t>
      </w:r>
    </w:p>
    <w:p>
      <w:pPr>
        <w:spacing w:after="0" w:line="3" w:lineRule="exact"/>
        <w:rPr>
          <w:sz w:val="20"/>
          <w:szCs w:val="20"/>
          <w:color w:val="auto"/>
        </w:rPr>
      </w:pPr>
    </w:p>
    <w:p>
      <w:pPr>
        <w:ind w:left="4" w:hanging="4"/>
        <w:spacing w:after="0" w:line="251" w:lineRule="auto"/>
        <w:tabs>
          <w:tab w:leader="none" w:pos="3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in connection with the listing of the Securities on the New York Stock Exchange, (x) any transfer, stamp or other similar taxes or duties arising solely as a result of the conversion of the Non-Voting Common Stock into Securities pursuant to the Articles Supplementary; it being understood that any transfer, stamp or other similar taxes or duties arising on or in connection with the sale or delivery of the Securities by the Selling Stockholders to the Underwriters shall be borne by the Selling Stockholders and not the Company and (xi)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The Selling Stockholders will pay or cause to be paid all expenses incident to the performance of their obligations under this Agreement, including (i) the underwriting discounts and commissions payable to the Underwriters in connection with the sale of the Securities, (ii) the fees and disbursements of the Selling Stockholders’ counsel and other advisors, (iii) any stock or other transfer taxes and any stamp or other duties payable upon the sale or delivery of the Securities by such Selling Stockholder to the Underwriters and (iv) any other out-of-pocket expenses incurred solely in connection with the Selling Stockholders’ obligations hereunder (the “Selling Stockholder Expenses”).</w:t>
      </w:r>
    </w:p>
    <w:p>
      <w:pPr>
        <w:spacing w:after="0" w:line="190" w:lineRule="exact"/>
        <w:rPr>
          <w:sz w:val="20"/>
          <w:szCs w:val="20"/>
          <w:color w:val="auto"/>
        </w:rPr>
      </w:pPr>
    </w:p>
    <w:p>
      <w:pPr>
        <w:ind w:left="4" w:right="20" w:firstLine="436"/>
        <w:spacing w:after="0" w:line="253" w:lineRule="auto"/>
        <w:tabs>
          <w:tab w:leader="none" w:pos="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Representatives in accordance with the provisions of Section 6(p),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10(a)(i), (iii) or (vii) or Section 11 hereof, each of the Company and the Operating Partnership (jointly and severally) and, in the case of a termination pursuant to Section 10(a)(vii), each of the Selling Stockholders (jointly and severally with the Company and the Operating Partnership), shall reimburse the Underwriters for all of their out-of-pocket expenses, including the reasonable fees and disbursements of counsel for the Underwriters; provided that no party shall be obligated to reimburse the Underwriters for expenses incurred solely as a result of the Underwriters’ own default; provided, further, that in the event of a termination pursuant to Section 10(a)(vii), the obligation of the Selling Stockholders to reimburse the Underwriters pursuant to this Section shall be joint and several with the obligation of the Company and the Operating Partnership and shall apply regardless of whether the failure of the JV Closing to occur is attributable to the Company, the Selling Stockholders or any other cause. Notwithstanding the foregoing, if this Agreement is terminated by the Representatives pursuant to Section 6(p) as a result of (i) the failure of any Selling Stockholder to deliver the Securities to be sold by it at the Closing Time or (ii) the failure of any Selling Stockholder to perform any of its obligations under this Agreement, such Selling Stockholder (severally, and not jointly, and in proportion to the number of Securities to be sold by each such Selling Stockholder) shall reimburse the Company and the Operating Partnership, upon demand, for the amount of such expenses paid by the Company and/or the Operating Partnership to the Underwriters that is attributable to such Selling Stockholder’s failure.</w:t>
      </w:r>
    </w:p>
    <w:p>
      <w:pPr>
        <w:spacing w:after="0" w:line="189"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the Operating Partnership and each Selling Stockholder contained herein or in certificates of any officer of the Company or any of its subsidiaries or any Selling Stockholder delivered pursuant to the provisions hereof, to the performance by the Company, the Operating Partnership and the Selling Stockholders of their respective covenants and other obligations hereunder, and to the following further conditions:</w:t>
      </w:r>
    </w:p>
    <w:p>
      <w:pPr>
        <w:spacing w:after="0" w:line="181" w:lineRule="exact"/>
        <w:rPr>
          <w:sz w:val="20"/>
          <w:szCs w:val="20"/>
          <w:color w:val="auto"/>
        </w:rPr>
      </w:pPr>
    </w:p>
    <w:p>
      <w:pPr>
        <w:ind w:left="4" w:right="40" w:firstLine="436"/>
        <w:spacing w:after="0" w:line="261" w:lineRule="auto"/>
        <w:tabs>
          <w:tab w:leader="none" w:pos="6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 Rule 430B Information</w:t>
      </w:r>
      <w:r>
        <w:rPr>
          <w:rFonts w:ascii="Times New Roman" w:cs="Times New Roman" w:eastAsia="Times New Roman" w:hAnsi="Times New Roman"/>
          <w:sz w:val="18"/>
          <w:szCs w:val="18"/>
          <w:color w:val="auto"/>
        </w:rPr>
        <w:t>. The Registration Statement, including any Rule 462(b)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6" w:name="page27"/>
    <w:bookmarkEnd w:id="2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knowledge, contemplated; and the Company has complied with each request (if any) from the Commission for additional information. A prospectus containing the Rule 430B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430B.</w:t>
      </w:r>
    </w:p>
    <w:p>
      <w:pPr>
        <w:spacing w:after="0" w:line="178" w:lineRule="exact"/>
        <w:rPr>
          <w:sz w:val="20"/>
          <w:szCs w:val="20"/>
          <w:color w:val="auto"/>
        </w:rPr>
      </w:pPr>
    </w:p>
    <w:p>
      <w:pPr>
        <w:ind w:right="4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Representatives shall have received the favorable opinion, dated the Closing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Latham &amp; Watkins LLP, counsel for the Company, in form and substance satisfactory to counsel for the Underwriters, together with signed or reproduced copies of such letter for each of the other Underwriters to the effect set forth in Exhibit A hereto and to such further effect as counsel to the Underwriters may reasonably request.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Opinion of Counsel for Company</w:t>
      </w:r>
      <w:r>
        <w:rPr>
          <w:rFonts w:ascii="Times New Roman" w:cs="Times New Roman" w:eastAsia="Times New Roman" w:hAnsi="Times New Roman"/>
          <w:sz w:val="18"/>
          <w:szCs w:val="18"/>
          <w:color w:val="auto"/>
        </w:rPr>
        <w:t>. At the Closing Time, the Representatives shall have received the favorable opinion,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Latham &amp; Watkins LLP, tax counsel for the Company, in form and substance satisfactory to counsel for the Underwriters, together with signed or reproduced copies of such letter for each of the other Underwriters to the effect set forth in Exhibit B hereto and to such further effect as counsel to the Underwriters may reasonably request.</w:t>
      </w:r>
    </w:p>
    <w:p>
      <w:pPr>
        <w:spacing w:after="0" w:line="179"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Maryland Counsel to the Company</w:t>
      </w:r>
      <w:r>
        <w:rPr>
          <w:rFonts w:ascii="Times New Roman" w:cs="Times New Roman" w:eastAsia="Times New Roman" w:hAnsi="Times New Roman"/>
          <w:sz w:val="18"/>
          <w:szCs w:val="18"/>
          <w:color w:val="auto"/>
        </w:rPr>
        <w:t>. At the Closing Time, the Representatives shall have received the favorable opinion,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of Venable LLP, Maryland counsel for the Company, in form and substance satisfactory to counsel for the Underwriters, together with signed or reproduced copies of such letter for each of the other Underwriters to the effect set forth in Exhibit C hereto and to such further effect as counsel to the Underwriters may reasonably request.</w:t>
      </w:r>
    </w:p>
    <w:p>
      <w:pPr>
        <w:spacing w:after="0" w:line="179" w:lineRule="exact"/>
        <w:rPr>
          <w:rFonts w:ascii="Times New Roman" w:cs="Times New Roman" w:eastAsia="Times New Roman" w:hAnsi="Times New Roman"/>
          <w:sz w:val="18"/>
          <w:szCs w:val="18"/>
          <w:color w:val="auto"/>
        </w:rPr>
      </w:pPr>
    </w:p>
    <w:p>
      <w:pPr>
        <w:ind w:right="20" w:firstLine="436"/>
        <w:spacing w:after="0" w:line="258"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Representatives shall have received the favorable opinion,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Goodwin Procter LLP, counsel for the Underwriters, together with signed or reproduced copies of such letter for each of the other Underwriters with respect to such matters as the Representatives may reasonably request, and such counsel shall have received such documents and information as they may reasonably request to enable them to pass upon such matters, and the Company shall have furnished to such counsel such documents as they may reasonably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Selling Stockholders</w:t>
      </w:r>
      <w:r>
        <w:rPr>
          <w:rFonts w:ascii="Times New Roman" w:cs="Times New Roman" w:eastAsia="Times New Roman" w:hAnsi="Times New Roman"/>
          <w:sz w:val="18"/>
          <w:szCs w:val="18"/>
          <w:color w:val="auto"/>
        </w:rPr>
        <w:t>. At the Closing Time, the Representatives shall have received the favorable opinion, dated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of Simpson Thacher &amp; Bartlett, LLP, counsel for the Selling Stockholders, in form and substance satisfactory to counsel for the Underwriters, together with signed or reproduced copies of such letter for each of the other Underwriters to the effect set forth in Exhibit D hereto and to such further effect as counsel to the Underwriters may reasonably request.</w:t>
      </w:r>
    </w:p>
    <w:p>
      <w:pPr>
        <w:spacing w:after="0" w:line="179" w:lineRule="exact"/>
        <w:rPr>
          <w:rFonts w:ascii="Times New Roman" w:cs="Times New Roman" w:eastAsia="Times New Roman" w:hAnsi="Times New Roman"/>
          <w:sz w:val="18"/>
          <w:szCs w:val="18"/>
          <w:color w:val="auto"/>
        </w:rPr>
      </w:pPr>
    </w:p>
    <w:p>
      <w:pPr>
        <w:ind w:right="100" w:firstLine="436"/>
        <w:spacing w:after="0" w:line="253"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or the President of the Company and of the chief financial or chief accounting officer of the Company, dated the Closing Time, to the effect that (i) there has been no such material adverse change, (ii) the representations and warranties of the Company and the Operating Partnership in this Agreement are true and correct with the same force and effect as though expressly made at and as of the Closing Time, (iii) the Company and the Operating Partnership have complied with all agreements and satisfied all conditions on their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7" w:name="page28"/>
    <w:bookmarkEnd w:id="27"/>
    <w:p>
      <w:pPr>
        <w:ind w:right="20" w:firstLine="436"/>
        <w:spacing w:after="0" w:line="258"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Stockholders’ Certificate</w:t>
      </w:r>
      <w:r>
        <w:rPr>
          <w:rFonts w:ascii="Times New Roman" w:cs="Times New Roman" w:eastAsia="Times New Roman" w:hAnsi="Times New Roman"/>
          <w:sz w:val="18"/>
          <w:szCs w:val="18"/>
          <w:color w:val="auto"/>
        </w:rPr>
        <w:t>. At the Closing Time, the Representatives shall have received one or more certificates signed by each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or an officer, attorney-in-fact or a trustee of each Selling Stockholder, dated the Closing Time, to the effect that the representations and warranties of such Selling Stockholder contained therein and in this Agreement are true and correct as of the Closing Time and that such Selling Stockholder has complied with all of the agreements and satisfied all of the conditions on its part to be performed or satisfied hereunder on or before the Closing Time.</w:t>
      </w:r>
    </w:p>
    <w:p>
      <w:pPr>
        <w:spacing w:after="0" w:line="183" w:lineRule="exact"/>
        <w:rPr>
          <w:rFonts w:ascii="Times New Roman" w:cs="Times New Roman" w:eastAsia="Times New Roman" w:hAnsi="Times New Roman"/>
          <w:sz w:val="18"/>
          <w:szCs w:val="18"/>
          <w:color w:val="auto"/>
        </w:rPr>
      </w:pPr>
    </w:p>
    <w:p>
      <w:pPr>
        <w:ind w:firstLine="436"/>
        <w:spacing w:after="0" w:line="281"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Accountant’s Comfort Letter</w:t>
      </w:r>
      <w:r>
        <w:rPr>
          <w:rFonts w:ascii="Times New Roman" w:cs="Times New Roman" w:eastAsia="Times New Roman" w:hAnsi="Times New Roman"/>
          <w:sz w:val="17"/>
          <w:szCs w:val="17"/>
          <w:color w:val="auto"/>
        </w:rPr>
        <w:t>. At the time of the execution of this Agreement, the Representatives shall have received from KPMG LLP a letter,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64" w:lineRule="exact"/>
        <w:rPr>
          <w:rFonts w:ascii="Times New Roman" w:cs="Times New Roman" w:eastAsia="Times New Roman" w:hAnsi="Times New Roman"/>
          <w:sz w:val="17"/>
          <w:szCs w:val="17"/>
          <w:color w:val="auto"/>
        </w:rPr>
      </w:pPr>
    </w:p>
    <w:p>
      <w:pPr>
        <w:ind w:right="140" w:firstLine="436"/>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Representatives shall have received from KPMG LLP a letter, dated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the effect that they reaffirm the statements made in the letter furnished pursuant to subsection (j) of this Section, except that the specified date referred to shall be a date not more than two business days prior to the Closing Time.</w:t>
      </w:r>
    </w:p>
    <w:p>
      <w:pPr>
        <w:spacing w:after="0" w:line="173" w:lineRule="exact"/>
        <w:rPr>
          <w:rFonts w:ascii="Times New Roman" w:cs="Times New Roman" w:eastAsia="Times New Roman" w:hAnsi="Times New Roman"/>
          <w:sz w:val="18"/>
          <w:szCs w:val="18"/>
          <w:color w:val="auto"/>
        </w:rPr>
      </w:pPr>
    </w:p>
    <w:p>
      <w:pPr>
        <w:ind w:right="20" w:firstLine="436"/>
        <w:spacing w:after="0" w:line="284"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New York Stock Exchange, subject only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158" w:lineRule="exact"/>
        <w:rPr>
          <w:rFonts w:ascii="Times New Roman" w:cs="Times New Roman" w:eastAsia="Times New Roman" w:hAnsi="Times New Roman"/>
          <w:sz w:val="18"/>
          <w:szCs w:val="18"/>
          <w:color w:val="auto"/>
        </w:rPr>
      </w:pPr>
    </w:p>
    <w:p>
      <w:pPr>
        <w:ind w:right="40" w:firstLine="436"/>
        <w:spacing w:after="0" w:line="25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JV Closing</w:t>
      </w:r>
      <w:r>
        <w:rPr>
          <w:rFonts w:ascii="Times New Roman" w:cs="Times New Roman" w:eastAsia="Times New Roman" w:hAnsi="Times New Roman"/>
          <w:sz w:val="18"/>
          <w:szCs w:val="18"/>
          <w:color w:val="auto"/>
        </w:rPr>
        <w:t>. Prior to or simultaneously with the Closing Time, the JV Closing shall have occurred and the Non-Voting Common Stock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duly and validly issued and outstanding and delivered to, and held of record by, the Selling Stockholders, free and clear of all security interests, claims, liens, equities or other encumbrances, and the Representatives shall have received a certificate signed by a duly authorized officer of each of the Company and each Selling Stockholder, dated as of the Closing Time, to the effect that the JV Closing has occurred and that the Non-Voting Common Stock has been duly issued to and is held by the Selling Stockholders free and clear of all liens, encumbrances and adverse claims.</w:t>
      </w:r>
    </w:p>
    <w:p>
      <w:pPr>
        <w:spacing w:after="0" w:line="183"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Representatives shall have received an agreement substantially in the form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hereto signed by the officers listed on Schedule D hereto.</w:t>
      </w:r>
    </w:p>
    <w:p>
      <w:pPr>
        <w:spacing w:after="0" w:line="205" w:lineRule="exact"/>
        <w:rPr>
          <w:sz w:val="20"/>
          <w:szCs w:val="20"/>
          <w:color w:val="auto"/>
        </w:rPr>
      </w:pPr>
    </w:p>
    <w:p>
      <w:pPr>
        <w:ind w:right="180" w:firstLine="436"/>
        <w:spacing w:after="0" w:line="26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Since the execution of this Agreement, there shall not have been any decrease in or withdrawal of the rating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the Company or any of its subsidiaries by any “nationally recognized statistical rating organization” (as defined in Section 3(a)(62) of the 1934 Act) or any notice given of any intended or potential decrease in or withdrawal of any such rating or of a possible change in any such rating that does not indicate the direction of the possible change.</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the Underwriters shall have been furnished with such documents and opinions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require for the purpose of enabling them to pass upon the issuance of the Securities by the Company and the sale of the Securities by the Selling Stockholders as herein contemplated, or in order to evidence the accuracy of any of the representations or warranties, or the fulfillment of any of the conditions, herein contained; and all proceedings taken by the Company in connection with the issuance of the Securities by the Company and the sale of the Securities by the Selling Stockholders as herein contemplated shall be satisfactory in form and substance to the Representatives and counsel for the Underwriters.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8" w:right="479" w:bottom="1440" w:gutter="0" w:footer="0" w:header="0"/>
        </w:sectPr>
      </w:pPr>
    </w:p>
    <w:bookmarkStart w:id="28" w:name="page29"/>
    <w:bookmarkEnd w:id="28"/>
    <w:p>
      <w:pPr>
        <w:ind w:right="14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terminated by the Representatives by notice to the Company and the Selling Stockholders at any time at or prior to Closing Time, including, without limitation, if the JV Closing shall not have occurred prior to the Closing Time, and such termination shall be without liability of any party to any other party except as provided in Section 5 and except that Sections 1, 7, 8, 9, 15, 16, 17 and 18 shall survive any such termination and remain in full force and effect.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7"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Company and the Operating Partnership</w:t>
      </w:r>
      <w:r>
        <w:rPr>
          <w:rFonts w:ascii="Times New Roman" w:cs="Times New Roman" w:eastAsia="Times New Roman" w:hAnsi="Times New Roman"/>
          <w:sz w:val="18"/>
          <w:szCs w:val="18"/>
          <w:color w:val="auto"/>
        </w:rPr>
        <w:t>. The Company and the Operating Partnership jointly and severally agree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indemnify and hold harmless each Underwriter, its affiliates (as such term is defined in Rule 501(b) under the 1933 Act (each, an “Affiliate”)), its selling agents, its officers and directors, and each person, if any, who controls any Underwriter within the meaning of Section 15 of the 1933 Act or Section 20 of the 1934 Act, and each Selling Stockholder, the directors, officers, employees and agents of each Selling Stockholder, each person, if any, who controls any Selling Stockholder within the meaning of either Section 15 of the 1933 Act or Section 20 of the 1934 Act and each affiliate of each Selling Stockholder within the meaning of Rule 405 under the 1933 Act as follows:</w:t>
      </w:r>
    </w:p>
    <w:p>
      <w:pPr>
        <w:spacing w:after="0" w:line="76" w:lineRule="exact"/>
        <w:rPr>
          <w:rFonts w:ascii="Times New Roman" w:cs="Times New Roman" w:eastAsia="Times New Roman" w:hAnsi="Times New Roman"/>
          <w:sz w:val="18"/>
          <w:szCs w:val="18"/>
          <w:color w:val="auto"/>
        </w:rPr>
      </w:pPr>
    </w:p>
    <w:p>
      <w:pPr>
        <w:ind w:left="440" w:right="160" w:firstLine="419"/>
        <w:spacing w:after="0" w:line="253" w:lineRule="auto"/>
        <w:tabs>
          <w:tab w:leader="none" w:pos="10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the Operating Partnership or any Selling Stockholder in connection with the marketing of the offering of the Securities (“Marketing Materials”), including any road show or investor presentations made to investors by the Company, the Operating Partnership or any Selling Stockholder (whether in person or electronically), or the omission or alleged omission in any preliminary prospectus, Issuer Free Writing Prospectus, General Disclosure Package, Prospectus (or any amendment or supplement thereto) or in any Marketing Materials of a material fact necessary in order to make the statements therein, in the light of the circumstances under which they were made, not misleading;</w:t>
      </w:r>
    </w:p>
    <w:p>
      <w:pPr>
        <w:spacing w:after="0" w:line="83"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7(d) below) any such settlement is effected with the written consent of the Company or the Operating Partnership and, to the extent any such settlement affects any Selling Stockholder as an indemnified party under this Section 7(a), such Selling Stockholder;</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with respect to the Underwriters and the Selling Stockholders, respectively, to any loss, liability, claim, damage or expense to the extent arising out of any untrue statement or omission or alleged untrue statement or omission made in the Registration Statement (or any amendment thereto), including the Rule 430B Information, the General Disclosure Package, the Prospectus (or any amendment or supplement thereto) or any Marketing Materials in reliance upon and in conformity with (i) the Underwriter Information with respect to the indemnification of the Underwriters and (ii) Selling Stockholder Information with respect to the indemnification of the Selling Stockholders.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9" w:name="page30"/>
    <w:bookmarkEnd w:id="29"/>
    <w:p>
      <w:pPr>
        <w:ind w:right="20"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by the Selling Stockholder</w:t>
      </w:r>
      <w:r>
        <w:rPr>
          <w:rFonts w:ascii="Times New Roman" w:cs="Times New Roman" w:eastAsia="Times New Roman" w:hAnsi="Times New Roman"/>
          <w:sz w:val="18"/>
          <w:szCs w:val="18"/>
          <w:color w:val="auto"/>
        </w:rPr>
        <w:t>. Each Selling Stockholder, severally and not jointly, agrees to indemnify and hold harmless (i)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Affiliates, its selling agents, its officers and directors, and each person, if any, who controls any Underwriter within the meaning of Section 15 of the 1933 Act or Section 20 of the 1934 Act, and (ii) the Company and the Operating Partnership, the Company’s directors, each officer of the Company and the Operating Partnership who signed the Registration Statement, and each person, if any, who controls the Company and the Operating Partnership within the meaning of Section 15 of the 1933 Act or Section 20 of the 1934 Act to the same extent as the foregoing indemnity from the Company and the Operating Partnership to each Underwriter, but only with reference to Selling Stockholder Information furnished to the Company and/or the Underwriters in writing by or on behalf of such Selling Stockholder specifically for inclusion in the documents referenced in the foregoing indemnity and/or provided to investors by, or with the approval of, such Selling Stockholder in any Marketing Materials;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430B Information, the General Disclosure Package, the Prospectus (or any amendment or supplement thereto) or any Marketing Materials in reliance upon and in conformity with the Underwriter Information. The aggregate liability of each Selling Stockholder under this Section 7(b) and the contribution provisions under Section 8 shall be limited to the aggregate public offering price of the Securities sold by such Selling Stockholder, after underwriting commissions and discounts but before expenses (the “Selling Stockholder Proceeds”).</w:t>
      </w:r>
    </w:p>
    <w:p>
      <w:pPr>
        <w:spacing w:after="0" w:line="185"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Underwriters</w:t>
      </w:r>
      <w:r>
        <w:rPr>
          <w:rFonts w:ascii="Times New Roman" w:cs="Times New Roman" w:eastAsia="Times New Roman" w:hAnsi="Times New Roman"/>
          <w:sz w:val="18"/>
          <w:szCs w:val="18"/>
          <w:color w:val="auto"/>
        </w:rPr>
        <w:t>. Each Underwriter severally agrees to indemnify and hold harmless the Company, the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and each Selling Stockholder, the Company’s directors and each officer of the Company and the Operating Partnership who signed the Registration Statement, and each person, if any, who controls the Company, the Operating Partnership or any Selling Stockholder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the General Disclosure Package or the Prospectus (or any amendment or supplement thereto) in reliance upon and in conformity with the Underwriter Information.</w:t>
      </w:r>
    </w:p>
    <w:p>
      <w:pPr>
        <w:spacing w:after="0" w:line="182"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7(a) above, counsel to the indemnified parties shall be selected by the Representatives; in the case of parties indemnified by the Selling Stockholders pursuant to Section 7(b) above, counsel to the indemnified parties shall be selected by the Representatives (in the case of the Underwriters as indemnified parties) and by the Company (in the case of the Company and the Operating Partnership as indemnified parties); and, in the case of parties indemnified pursuant to Section 7(c) above, counsel to the indemnified parties shall be selected by the Company. An indemnifying party may participate at its own expense in the defense of any such action; provided, however, that counsel to the indemnifying party shall not (except with the prior written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8" w:right="439" w:bottom="1440" w:gutter="0" w:footer="0" w:header="0"/>
        </w:sectPr>
      </w:pPr>
    </w:p>
    <w:bookmarkStart w:id="30" w:name="page31"/>
    <w:bookmarkEnd w:id="30"/>
    <w:p>
      <w:pPr>
        <w:ind w:left="4"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threatened, or any claim whatsoever in respect of which indemnification or contribution could be sought under this Section 7 or Section 8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8" w:lineRule="exact"/>
        <w:rPr>
          <w:sz w:val="20"/>
          <w:szCs w:val="20"/>
          <w:color w:val="auto"/>
        </w:rPr>
      </w:pPr>
    </w:p>
    <w:p>
      <w:pPr>
        <w:ind w:left="4" w:firstLine="436"/>
        <w:spacing w:after="0" w:line="257"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7(a)(ii)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7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indemnifying party or parties on the one hand and the indemnified party or parties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The relative benefits received by the Company, the Operating Partnership and the Selling Stockholders on the one hand, and the Underwriters on the other hand, in connection with the offering of the Securities pursuant to this Agreement, shall be deemed to be in the same respective proportions as</w:t>
      </w:r>
    </w:p>
    <w:p>
      <w:pPr>
        <w:spacing w:after="0" w:line="1" w:lineRule="exact"/>
        <w:rPr>
          <w:sz w:val="20"/>
          <w:szCs w:val="20"/>
          <w:color w:val="auto"/>
        </w:rPr>
      </w:pPr>
    </w:p>
    <w:p>
      <w:pPr>
        <w:ind w:left="4" w:hanging="4"/>
        <w:spacing w:after="0" w:line="252"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Selling Stockholder Proceeds received by the Selling Stockholders and (ii) the difference between (x) the aggregate price to the public received by the Underwriters and (y) the aggregate price paid by the Underwriters to the Selling Stockholders for the Securities, bear to the aggregate price to the public received by the Underwriters. The relative fault shall be determined by reference to, among other things, whether any such untrue or alleged untrue statement of a material fact or omission or alleged omission to state a material fact relates to information supplied by the Company, the Operating Partnership, the Selling Stockholders or by the Underwriters and the parties’ relative intent, knowledge, access to information and opportunity to correct or prevent such statement or omission.</w:t>
      </w:r>
    </w:p>
    <w:p>
      <w:pPr>
        <w:spacing w:after="0" w:line="190"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the Operating Partnership, the Selling Stockholders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above in this Section 8. The aggregate amount of losses, liabilities, claims, damages and expenses incurred by an indemnified party and referred to above in this Section 8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9" w:lineRule="exact"/>
        <w:rPr>
          <w:sz w:val="20"/>
          <w:szCs w:val="20"/>
          <w:color w:val="auto"/>
        </w:rPr>
      </w:pPr>
    </w:p>
    <w:p>
      <w:pPr>
        <w:ind w:left="4" w:right="400" w:firstLine="440"/>
        <w:spacing w:after="0" w:line="281" w:lineRule="auto"/>
        <w:rPr>
          <w:sz w:val="20"/>
          <w:szCs w:val="20"/>
          <w:color w:val="auto"/>
        </w:rPr>
      </w:pPr>
      <w:r>
        <w:rPr>
          <w:rFonts w:ascii="Times New Roman" w:cs="Times New Roman" w:eastAsia="Times New Roman" w:hAnsi="Times New Roman"/>
          <w:sz w:val="17"/>
          <w:szCs w:val="17"/>
          <w:color w:val="auto"/>
        </w:rPr>
        <w:t>Notwithstanding the provisions of this Section 8, (i) no Underwriter shall be required to contribute any amount in excess of the underwriting commissions received by such Underwriter in connection with the Securities underwritten by it and distributed to the public and (ii) each Selling Stockholder’s obligation to contribute any amount under this Section 8 is limited in the manner and to the extent set forth in this Section 8 and no Selling Stockholder shall be required to contribute any amount in excess of the Selling Stockholder Proceeds received by such Selling Stockholder.</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1" w:name="page32"/>
    <w:bookmarkEnd w:id="31"/>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Section 8, (i) each person, if any, who controls an Underwriter within the meaning of Section 15 of the 1933 Act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20 of the 1934 Act and each Underwriter’s Affiliates and selling agents shall have the same rights to contribution as such Underwriter, (ii)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director of the Company, each officer of the Company who signed the Registration Statement, and each person, if any, who controls the Company within</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meaning of Section 15 of the 1933 Act or Section 20 of the 1934 Act shall have the same rights to contribution as the Company and (iii)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director, officer, employee and agent of each Selling Stockholder, each person, if any, who controls any Selling Stockholder within the meaning of either</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15 of the 1933 Act or Section 20 of the 1934 Act and each affiliate of each Selling Stockholder within the meaning of Rule 405 under the 1933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 shall have the same rights to contribution as such Selling Stockholder. The Underwriters’ respective obligations to contribute pursuant to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8 are several in proportion to the number of Securities set forth opposite their respective names in Schedule A hereto and not joint.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contribution obligations of the Selling Stockholders under this Section 8 shall be several and not joint.</w:t>
      </w:r>
    </w:p>
    <w:p>
      <w:pPr>
        <w:spacing w:after="0" w:line="207"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Representations, Warranties and Agreements to Survive</w:t>
      </w:r>
      <w:r>
        <w:rPr>
          <w:rFonts w:ascii="Times New Roman" w:cs="Times New Roman" w:eastAsia="Times New Roman" w:hAnsi="Times New Roman"/>
          <w:sz w:val="17"/>
          <w:szCs w:val="17"/>
          <w:color w:val="auto"/>
        </w:rPr>
        <w:t>. All representations, warranties and agreements contained in this Agreement or in certificates of officers of the Company or any of its subsidiaries or of the Selling Stockholders or any of their officers, attorneys-in-fact or trustees submitted pursuant hereto, shall remain operative and in full force and effect regardless of (i) any investigation made by or on behalf of any Underwriter or its Affiliates or selling agents, any person controlling any Underwriter, its officers or directors, by or on behalf of the Company, its officers or directors or any person controlling the Company, or by or on behalf of the Selling Stockholders or any person controlling any Selling Stockholder and</w:t>
      </w:r>
    </w:p>
    <w:p>
      <w:pPr>
        <w:spacing w:after="0" w:line="3" w:lineRule="exact"/>
        <w:rPr>
          <w:sz w:val="20"/>
          <w:szCs w:val="20"/>
          <w:color w:val="auto"/>
        </w:rPr>
      </w:pPr>
    </w:p>
    <w:p>
      <w:pPr>
        <w:ind w:left="444" w:right="7520" w:hanging="444"/>
        <w:spacing w:after="0" w:line="517" w:lineRule="auto"/>
        <w:tabs>
          <w:tab w:leader="none" w:pos="26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delivery of and payment for the Securities. SECTION 10. </w:t>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100" w:firstLine="436"/>
        <w:spacing w:after="0" w:line="252"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Representatives may terminate this Agreement, by notice to the Company, the Operating Partnership and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at any time at or prior to the 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New York Stock Exchange, or (iv) if trading generally on the NYSE American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or (vii) if the JV Closing has not occurred by 3:00 P.M. (New York City time) on June 30, 2026 (or such later date and time as the Representatives may agree in writing in their sole discretion), or if the Company or any Selling Stockholder notifies the Representatives that the JV Closing will not occur or that the Purchase and Sale Agreement has been terminated.</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2" w:name="page33"/>
    <w:bookmarkEnd w:id="32"/>
    <w:p>
      <w:pPr>
        <w:jc w:val="both"/>
        <w:ind w:left="4" w:right="160" w:firstLine="436"/>
        <w:spacing w:after="0" w:line="267" w:lineRule="auto"/>
        <w:tabs>
          <w:tab w:leader="none" w:pos="6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5 hereof, and provided further that Sections 1, 7, 8, 9, 15, 16, 17 and 18 shall survive such termination and remain in full force and effect.</w:t>
      </w:r>
    </w:p>
    <w:p>
      <w:pPr>
        <w:spacing w:after="0" w:line="175"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If one or more of the Underwriters shall fail at the Closing Time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83" w:lineRule="exact"/>
        <w:rPr>
          <w:sz w:val="20"/>
          <w:szCs w:val="20"/>
          <w:color w:val="auto"/>
        </w:rPr>
      </w:pPr>
    </w:p>
    <w:p>
      <w:pPr>
        <w:ind w:left="4" w:right="420" w:firstLine="987"/>
        <w:spacing w:after="0" w:line="266" w:lineRule="auto"/>
        <w:tabs>
          <w:tab w:leader="none" w:pos="12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75"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Securities to be purchased on such date, this Agreement shall terminate without liability on the part of any non-defaulting Underwriter.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either the (i) Representatives, (ii) the Company or</w:t>
      </w:r>
    </w:p>
    <w:p>
      <w:pPr>
        <w:spacing w:after="0" w:line="27" w:lineRule="exact"/>
        <w:rPr>
          <w:sz w:val="20"/>
          <w:szCs w:val="20"/>
          <w:color w:val="auto"/>
        </w:rPr>
      </w:pPr>
    </w:p>
    <w:p>
      <w:pPr>
        <w:ind w:left="4" w:right="20" w:hanging="4"/>
        <w:spacing w:after="0" w:line="255"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shall have the right to postpone the Closing Time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11.</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Morgan Stanley &amp; Co. LLC at 1585 Broadway, 4th Floor, New York, New York 10036, Attention: Equity Syndicate Desk, with a copy to the Legal Department, with a copy to Goodwin Procter LLP, Attention: Ettore A. Santucci and Audrey S. Leigh (fax no.: (617) 523-1231) and confirmed to it at Goodwin Procter LLP, 100 Northern Avenue, Boston, Massachusetts 02210, Attention: Ettore A. Santucci and Audrey S. Leigh; notices to the Company or the Operating Partnership shall be directed to it at Digital Realty Trust, Inc. (fax no.: (737) 281-0145) and confirmed to it at Digital Realty Trust, Inc., 601 West 2nd Street, Floor 32, Austin, Texas 78701, Attention: General Counsel, with a copy to Latham &amp; Watkins LLP, Attention: Julian Kleindorfer (fax no.: (213) 891-8763) and confirmed to it at Latham &amp; Watkins LLP, 355 South Grand Avenue, Los Angeles, California 90071, Attention: Julian Kleindorfer; notices to the Selling Stockholders shall be directed to such Selling Stockholder, c/o Blackstone Inc., 345 Park Avenue, New York, NY 10154, with a copy to (which shall not constitute notice) Simpson Thacher &amp; Bartlett LLP, 900 G Street NW, Washington, D.C. 20001, Attention: William R. Golden III.</w:t>
      </w:r>
    </w:p>
    <w:p>
      <w:pPr>
        <w:spacing w:after="0" w:line="194" w:lineRule="exact"/>
        <w:rPr>
          <w:sz w:val="20"/>
          <w:szCs w:val="20"/>
          <w:color w:val="auto"/>
        </w:rPr>
      </w:pPr>
    </w:p>
    <w:p>
      <w:pPr>
        <w:ind w:left="4"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and the Selling Stockholders acknowledge and agree that (a) the purchase and sale of the Securities pursuant to this Agreement, including the determination of the public offering price of the Securities and any related discounts and commissions, is an arm’s-length commercial transaction between the Selling Stockholders, on the one hand, and the several Underwriters, on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8" w:right="459" w:bottom="1440" w:gutter="0" w:footer="0" w:header="0"/>
        </w:sectPr>
      </w:pPr>
    </w:p>
    <w:bookmarkStart w:id="33" w:name="page34"/>
    <w:bookmarkEnd w:id="3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or of the Selling Stockholders or any of their affiliates, (c) no Underwriter has assumed or will assume an advisory or fiduciary responsibility in favor of the Company or the Selling Stockholders with respect to the offering of the Securities or the process leading thereto (irrespective of whether such Underwriter has advised or is currently advising the Company or the Selling Stockholders or any of their subsidiaries on other matters) and no Underwriter has any obligation to the Company or the Selling Stockholders with respect to the offering of the Securities except the obligations expressly set forth in this Agreement, (d) the Underwriters and their respective affiliates may be engaged in a broad range of transactions that involve interests that differ from those of the Company and the Selling Stockholders and (e) the Underwriters have not provided any legal, accounting, regulatory or tax advice with respect to the offering of the Securities and each of the Company and the Selling Stockholders have consulted their own respective legal, accounting, regulatory and tax advisors to the extent they deemed appropriate.</w:t>
      </w:r>
    </w:p>
    <w:p>
      <w:pPr>
        <w:spacing w:after="0" w:line="19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Each of the Company and each Selling Stockholder acknowledges and agrees that (i) no Underwriter has made or is making a recommendation to the Company or the Selling Stockholders to participate in the offering contemplated by this Agreement or to sell any Securities at the price set forth in this Agreement, and (ii) the Underwriters’ obligation to purchase the Securities is subject to the terms and conditions of this Agreement and does not constitute a recommendation within the meaning of Regulation Best Interest under the 1934 Act or for purposes of the Form CRS requirements thereunder.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1"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inure to the benefit of and be binding upon each of the Underwriters, the Company, the Operating Partnership and the Selling Stockholders and their respective successors. Nothing expressed or mentioned in this Agreement is intended or shall be construed to give any person, firm or corporation, other than the Underwriters, the Company, the Operating Partnership and the Selling Stockholders and their respective successors and the controlling persons and officers and directors referred to in Sections 7 and 8 and their heirs and legal representatives, any legal or equitable right, remedy or claim under or in respect of this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or any provision herein contained. This Agreement and all conditions and provisions hereof are intended to be for the sole and exclusive benefit of the Underwriters, the Company, the Operating Partnership and the Selling Stockholders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including the Operating Partnership),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Counterparts and Electronic Signatures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5" w:name="page36"/>
    <w:bookmarkEnd w:id="35"/>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the Company, the Operating Partnership and the Selling Stockholders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DIGITAL REALTY TRUST,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Matthew R. Mercier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DIGITAL REALTY TRUST,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Digital Realty Trust, Inc.,</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R. Mercier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Matthew R. Mercier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20"/>
          </w:cols>
          <w:pgMar w:left="440" w:top="270" w:right="113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BIP US NUCLEUS AGGREGATOR L.P.</w:t>
      </w:r>
    </w:p>
    <w:p>
      <w:pPr>
        <w:spacing w:after="0" w:line="229" w:lineRule="exact"/>
        <w:rPr>
          <w:sz w:val="20"/>
          <w:szCs w:val="20"/>
          <w:color w:val="auto"/>
        </w:rPr>
      </w:pPr>
    </w:p>
    <w:p>
      <w:pPr>
        <w:ind w:left="6060" w:right="100" w:hanging="449"/>
        <w:spacing w:after="0" w:line="261" w:lineRule="auto"/>
        <w:tabs>
          <w:tab w:leader="none" w:pos="57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By: Blackstone Infrastructure Associates Non-ECI L.P., its general partner</w:t>
      </w:r>
    </w:p>
    <w:p>
      <w:pPr>
        <w:ind w:left="6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BIA GP L.P., its general partner</w:t>
      </w:r>
    </w:p>
    <w:p>
      <w:pPr>
        <w:spacing w:after="0" w:line="9" w:lineRule="exact"/>
        <w:rPr>
          <w:rFonts w:ascii="Times New Roman" w:cs="Times New Roman" w:eastAsia="Times New Roman" w:hAnsi="Times New Roman"/>
          <w:sz w:val="18"/>
          <w:szCs w:val="18"/>
          <w:color w:val="auto"/>
        </w:rPr>
      </w:pPr>
    </w:p>
    <w:p>
      <w:pPr>
        <w:ind w:left="6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BIA GP L.L.C., its general partner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Christopher Placca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2288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Christopher Placca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BREP US NUCLEUS AGGREGATOR L.P.</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BREP US Nucleus Aggregator GP LLC, its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Blackstone Real Estate Associates X L.P., its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BREA X L.L.C., its general partner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Anthony Beovich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22885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Anthony Beovich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Director, Assistant Treasurer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BXPE NUCLEUS US HOLDCO L.P.</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 Blackstone Private Equity Strategies Associates</w:t>
      </w:r>
    </w:p>
    <w:p>
      <w:pPr>
        <w:spacing w:after="0" w:line="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BXPEA L.L.C., its general partner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Matthew Bucci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22885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Bucci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BXPE NUCLEUS LUX HOLDCO L.P.</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 Blackstone Private Equity Strategies Associates</w:t>
      </w:r>
    </w:p>
    <w:p>
      <w:pPr>
        <w:spacing w:after="0" w:line="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BXPEA L.L.C., its general partner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Matthew Bucci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2288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Matthew Bucci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800"/>
          </w:cols>
          <w:pgMar w:left="1440" w:top="266" w:right="65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 NUCLEUS HOLDINGS DE L.P.</w:t>
      </w:r>
    </w:p>
    <w:p>
      <w:pPr>
        <w:spacing w:after="0" w:line="2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By: BTO Holdings Manager IV L.L.C., its general</w:t>
      </w:r>
    </w:p>
    <w:p>
      <w:pPr>
        <w:spacing w:after="0" w:line="3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By: BTO DE GP – NQ L.L.C., its sole member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22885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700"/>
          </w:cols>
          <w:pgMar w:left="1440" w:top="266" w:right="7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Andres Altamirano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Andres Altamirano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other Underwriters named in Schedule A 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019"/>
          </w:cols>
          <w:pgMar w:left="440" w:top="27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per Security to the public is $185.00 per share.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Stockholders agree, severally and not jointly, to sell to each Underwriter, and each Underwriter, severally and not jointly, agrees to purchase from the Selling Stockholders, at the price per share of $184.3862.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648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64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74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Sch A-1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28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SCHEDULE B</w:t>
            </w:r>
          </w:p>
        </w:tc>
        <w:tc>
          <w:tcPr>
            <w:tcW w:w="0" w:type="dxa"/>
            <w:vAlign w:val="bottom"/>
          </w:tcPr>
          <w:p>
            <w:pPr>
              <w:spacing w:after="0"/>
              <w:rPr>
                <w:sz w:val="1"/>
                <w:szCs w:val="1"/>
                <w:color w:val="auto"/>
              </w:rPr>
            </w:pPr>
          </w:p>
        </w:tc>
      </w:tr>
      <w:tr>
        <w:trPr>
          <w:trHeight w:val="369"/>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Stockholder:</w:t>
            </w:r>
          </w:p>
        </w:tc>
        <w:tc>
          <w:tcPr>
            <w:tcW w:w="2020" w:type="dxa"/>
            <w:vAlign w:val="bottom"/>
            <w:vMerge w:val="restart"/>
          </w:tcPr>
          <w:p>
            <w:pPr>
              <w:spacing w:after="0"/>
              <w:rPr>
                <w:sz w:val="24"/>
                <w:szCs w:val="24"/>
                <w:color w:val="auto"/>
              </w:rPr>
            </w:pPr>
          </w:p>
        </w:tc>
        <w:tc>
          <w:tcPr>
            <w:tcW w:w="6360" w:type="dxa"/>
            <w:vAlign w:val="bottom"/>
          </w:tcPr>
          <w:p>
            <w:pPr>
              <w:spacing w:after="0"/>
              <w:rPr>
                <w:sz w:val="24"/>
                <w:szCs w:val="24"/>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78"/>
        </w:trPr>
        <w:tc>
          <w:tcPr>
            <w:tcW w:w="1720" w:type="dxa"/>
            <w:vAlign w:val="bottom"/>
            <w:tcBorders>
              <w:bottom w:val="single" w:sz="8" w:color="auto"/>
            </w:tcBorders>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6360" w:type="dxa"/>
            <w:vAlign w:val="bottom"/>
          </w:tcPr>
          <w:p>
            <w:pPr>
              <w:spacing w:after="0"/>
              <w:rPr>
                <w:sz w:val="15"/>
                <w:szCs w:val="15"/>
                <w:color w:val="auto"/>
              </w:rPr>
            </w:pPr>
          </w:p>
        </w:tc>
        <w:tc>
          <w:tcPr>
            <w:tcW w:w="92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BREP US Nucleus Aggregator L.P.</w:t>
            </w:r>
          </w:p>
        </w:tc>
        <w:tc>
          <w:tcPr>
            <w:tcW w:w="6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4,973,470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BIP US Nucleus Aggregator L.P.</w:t>
            </w:r>
          </w:p>
        </w:tc>
        <w:tc>
          <w:tcPr>
            <w:tcW w:w="7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4,973,529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BTO Nucleus Holdings DE L.P.</w:t>
            </w:r>
          </w:p>
        </w:tc>
        <w:tc>
          <w:tcPr>
            <w:tcW w:w="7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1,936,304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BXPE Nucleus US Holdco L.P.</w:t>
            </w:r>
          </w:p>
        </w:tc>
        <w:tc>
          <w:tcPr>
            <w:tcW w:w="7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392,194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BXPE Nucleus Lux Holdco L.P.</w:t>
            </w:r>
          </w:p>
        </w:tc>
        <w:tc>
          <w:tcPr>
            <w:tcW w:w="7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12,310,249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 B-1</w:t>
      </w:r>
    </w:p>
    <w:p>
      <w:pPr>
        <w:sectPr>
          <w:pgSz w:w="11900" w:h="16838" w:orient="portrait"/>
          <w:cols w:equalWidth="0" w:num="1">
            <w:col w:w="11020"/>
          </w:cols>
          <w:pgMar w:left="440" w:top="270" w:right="439" w:bottom="1440" w:gutter="0" w:footer="0" w:header="0"/>
        </w:sectPr>
      </w:pPr>
    </w:p>
    <w:bookmarkStart w:id="41" w:name="page42"/>
    <w:bookmarkEnd w:id="41"/>
    <w:p>
      <w:pPr>
        <w:jc w:val="center"/>
        <w:ind w:right="-10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C-1</w:t>
      </w:r>
    </w:p>
    <w:p>
      <w:pPr>
        <w:spacing w:after="0" w:line="22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are selling 12,310,249 shares of Common Stock.</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Security to the public is $185.00 per share.</w:t>
      </w:r>
    </w:p>
    <w:p>
      <w:pPr>
        <w:spacing w:after="0" w:line="158"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Sch C-1</w:t>
      </w:r>
    </w:p>
    <w:p>
      <w:pPr>
        <w:sectPr>
          <w:pgSz w:w="11900" w:h="16838" w:orient="portrait"/>
          <w:cols w:equalWidth="0" w:num="1">
            <w:col w:w="10023"/>
          </w:cols>
          <w:pgMar w:left="436" w:top="270" w:right="1440" w:bottom="1440" w:gutter="0" w:footer="0" w:header="0"/>
        </w:sectPr>
      </w:pPr>
    </w:p>
    <w:bookmarkStart w:id="42" w:name="page43"/>
    <w:bookmarkEnd w:id="42"/>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Sch C-2</w:t>
      </w:r>
    </w:p>
    <w:p>
      <w:pPr>
        <w:sectPr>
          <w:pgSz w:w="11900" w:h="16838" w:orient="portrait"/>
          <w:cols w:equalWidth="0" w:num="1">
            <w:col w:w="10019"/>
          </w:cols>
          <w:pgMar w:left="440" w:top="270"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 D-1</w:t>
      </w:r>
    </w:p>
    <w:p>
      <w:pPr>
        <w:sectPr>
          <w:pgSz w:w="11900" w:h="16838" w:orient="portrait"/>
          <w:cols w:equalWidth="0" w:num="1">
            <w:col w:w="9019"/>
          </w:cols>
          <w:pgMar w:left="1440" w:top="27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20"/>
          </w:cols>
          <w:pgMar w:left="1440" w:top="270"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20"/>
          </w:cols>
          <w:pgMar w:left="1440" w:top="270"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020"/>
          </w:cols>
          <w:pgMar w:left="1440"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020"/>
          </w:cols>
          <w:pgMar w:left="1440" w:top="270"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020"/>
          </w:cols>
          <w:pgMar w:left="1440" w:top="270"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DIGITAL REALTY TRUST,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SUPPLEMENTARY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Digital Realty Trust, Inc., a Maryland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to the State Department of Assessments and Taxation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Maryland that:</w:t>
      </w:r>
    </w:p>
    <w:p>
      <w:pPr>
        <w:spacing w:after="0" w:line="20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Under a power contained in Section 5.2 of Article V of the charter of the 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by duly adopted resolutions, reclassified 12,310,249 authorized but unissued shares of Common Stock, $0.01 par value per share, of the Corporation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shares of Non-Voting Common Stock, $0.01 par value per share, of the Corporation (the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with the following preferences, conversion or other rights, restrictions, limitations as to dividends and other distributions, qualifications, and terms and conditions of redemption, which, upon any restatement of the Charter, shall become part of Article V of the Charter, with any necessary or appropriate renumbering or relettering of the sections or subsections hereof. The total numbers of shares of Common Stock and Non-Voting Common Stock which the Corporation has authority to issue after giving effect to these Articles Supplementary are 489,689,751 and 12,310,249, respectively. There has been no increase in the authorized shares of stock of the Corporation effected by these Articles Supplementary. Unless otherwise defined below, capitalized terms used below have the meanings given to them in the Charter.</w:t>
      </w:r>
    </w:p>
    <w:p>
      <w:pPr>
        <w:spacing w:after="0" w:line="80" w:lineRule="exact"/>
        <w:rPr>
          <w:sz w:val="20"/>
          <w:szCs w:val="20"/>
          <w:color w:val="auto"/>
        </w:rPr>
      </w:pPr>
    </w:p>
    <w:p>
      <w:pPr>
        <w:ind w:right="40" w:firstLine="987"/>
        <w:spacing w:after="0" w:line="26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 The Corporation has authority to issue 12,310,249 shares of Non-Voting Common Stock, $0.01 par value per share (the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The Board of Directors may reclassify any unissued shares of Non-Voting Common Stock from time to time into one or more classes or series of stock.</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As used herein, the following terms shall have the following meanings unless the context otherwise requires:</w:t>
      </w:r>
    </w:p>
    <w:p>
      <w:pPr>
        <w:spacing w:after="0" w:line="225" w:lineRule="exact"/>
        <w:rPr>
          <w:sz w:val="20"/>
          <w:szCs w:val="20"/>
          <w:color w:val="auto"/>
        </w:rPr>
      </w:pPr>
    </w:p>
    <w:p>
      <w:pPr>
        <w:ind w:right="200" w:firstLine="143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(i) any Person directly or indirectly controlling, controlled by or under common control with such Person; (ii) any executive officer, director, trustee, manager, managing member or general partner of such Person; and (iii) any legal entity for which such Person acts as an executive officer, director, trustee, manager, managing member or general partner. The term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shall have the correlative meaning.</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w:t>
      </w:r>
      <w:r>
        <w:rPr>
          <w:rFonts w:ascii="Times New Roman" w:cs="Times New Roman" w:eastAsia="Times New Roman" w:hAnsi="Times New Roman"/>
          <w:sz w:val="18"/>
          <w:szCs w:val="18"/>
          <w:color w:val="auto"/>
        </w:rPr>
        <w:t>” shall mean, with respect to any share of Non-Voting Common Stock, the initial holder thereof.</w:t>
      </w:r>
    </w:p>
    <w:p>
      <w:pPr>
        <w:spacing w:after="0" w:line="117" w:lineRule="exact"/>
        <w:rPr>
          <w:sz w:val="20"/>
          <w:szCs w:val="20"/>
          <w:color w:val="auto"/>
        </w:rPr>
      </w:pPr>
    </w:p>
    <w:p>
      <w:pPr>
        <w:ind w:right="340" w:firstLine="987"/>
        <w:spacing w:after="0" w:line="261"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as Common Stock</w:t>
      </w:r>
      <w:r>
        <w:rPr>
          <w:rFonts w:ascii="Times New Roman" w:cs="Times New Roman" w:eastAsia="Times New Roman" w:hAnsi="Times New Roman"/>
          <w:sz w:val="18"/>
          <w:szCs w:val="18"/>
          <w:color w:val="auto"/>
        </w:rPr>
        <w:t>. Except as set forth in Sections 4, 5 and 6 below, the Non-Voting Common Stock shall have identical preferences, rights, restrictions, limitations as to dividends and other distributions, qualifications, and terms and conditions of redemption as the Common Stock and all provisions of the charter applicable to the Common Stock, including, without limitation, the provisions of Articles V and VI, shall apply to the Non-Voting Common Stock.</w:t>
      </w:r>
    </w:p>
    <w:p>
      <w:pPr>
        <w:spacing w:after="0" w:line="71"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provided in the Charter, no Initial Holder of the Non-Voting Common Stock shall have any voting rights. Notwithstanding the foregoing, the consent of the holders of a majority of the outstanding Non-Voting Common Stock, voting as a separate class, shall be required to approve (a) the authorization or issuance of any additional shares of Non-Voting Common Stock, (b) any increase in the number of authorized or issued shares of Non-Voting Common Stock, (c) any transaction (including by way of an amendment to the Charter, merger involving the Corporation, conversion of the Corporation or other transaction) or other action that amends, alters or modifies the terms of the Non-Voting Common Stock, or (d) any transaction or other action that reclassifies shares of issued and outstanding Non-Voting Common Stock.</w:t>
      </w:r>
    </w:p>
    <w:p>
      <w:pPr>
        <w:sectPr>
          <w:pgSz w:w="11900" w:h="16838" w:orient="portrait"/>
          <w:cols w:equalWidth="0" w:num="1">
            <w:col w:w="11020"/>
          </w:cols>
          <w:pgMar w:left="440" w:top="117" w:right="439" w:bottom="1440" w:gutter="0" w:footer="0" w:header="0"/>
        </w:sectPr>
      </w:pPr>
    </w:p>
    <w:bookmarkStart w:id="50" w:name="page51"/>
    <w:bookmarkEnd w:id="50"/>
    <w:p>
      <w:pPr>
        <w:ind w:right="20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Limit</w:t>
      </w:r>
      <w:r>
        <w:rPr>
          <w:rFonts w:ascii="Times New Roman" w:cs="Times New Roman" w:eastAsia="Times New Roman" w:hAnsi="Times New Roman"/>
          <w:sz w:val="18"/>
          <w:szCs w:val="18"/>
          <w:color w:val="auto"/>
        </w:rPr>
        <w:t>. For purposes of Article VI of the charter relating to the Common Stock Ownership Limit and the Aggregate Stock Ownership Limit, the Non-Voting Common Stock shall be treated as Common Stock and not as a separate class of Capital Stock.</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Each issued and outstanding share of Non-Voting Common Stock shall automatically and without any action on the part of the holder thereof convert into one share of Common Stock upon a transfer of such share of Non-Voting Common Stock by the Initial Holder or an Affiliate thereof to a Person not Affiliated with the Initial Holder. The Corporation shall take such actions as may be necessary to effect the provisions of this Section 6 in accordance with the Maryland General Corporation Law.</w:t>
      </w:r>
    </w:p>
    <w:p>
      <w:pPr>
        <w:spacing w:after="0" w:line="71" w:lineRule="exact"/>
        <w:rPr>
          <w:rFonts w:ascii="Times New Roman" w:cs="Times New Roman" w:eastAsia="Times New Roman" w:hAnsi="Times New Roman"/>
          <w:sz w:val="18"/>
          <w:szCs w:val="18"/>
          <w:color w:val="auto"/>
        </w:rPr>
      </w:pPr>
    </w:p>
    <w:p>
      <w:pPr>
        <w:ind w:right="820" w:firstLine="987"/>
        <w:spacing w:after="0" w:line="282"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Shares</w:t>
      </w:r>
      <w:r>
        <w:rPr>
          <w:rFonts w:ascii="Times New Roman" w:cs="Times New Roman" w:eastAsia="Times New Roman" w:hAnsi="Times New Roman"/>
          <w:sz w:val="18"/>
          <w:szCs w:val="18"/>
          <w:color w:val="auto"/>
        </w:rPr>
        <w:t>. All shares of Non-Voting Common Stock converted or otherwise acquired in any manner by the Corporation shall be retired and shall be restored to the status of authorized but unissued shares of Common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A description of the Common Stock is contained in Section 5.2 of the Charter.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shares of Non-Voting Common Stock have been reclassified by the Board of Directors under the authority contained in the Charter.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These Articles Supplementary have been approved by the Board of Directors in the manner and by the vote required by law.</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1" w:name="page52"/>
    <w:bookmarkEnd w:id="51"/>
    <w:p>
      <w:pPr>
        <w:ind w:firstLine="991"/>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has caused these Articles Supplementary to be signed in its name and on its behalf by its President and Chief Executive Officer and attested to by its Executive Vice President, General Counsel and Secretary on this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June,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55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DIGITAL REALTY TRUST, INC.</w:t>
            </w:r>
          </w:p>
        </w:tc>
        <w:tc>
          <w:tcPr>
            <w:tcW w:w="0" w:type="dxa"/>
            <w:vAlign w:val="bottom"/>
          </w:tcPr>
          <w:p>
            <w:pPr>
              <w:spacing w:after="0"/>
              <w:rPr>
                <w:sz w:val="1"/>
                <w:szCs w:val="1"/>
                <w:color w:val="auto"/>
              </w:rPr>
            </w:pPr>
          </w:p>
        </w:tc>
      </w:tr>
      <w:tr>
        <w:trPr>
          <w:trHeight w:val="39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 Jeannie Lee</w:t>
            </w: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By:  /s/ Andrew P. Power                                 (SEAL)</w:t>
            </w: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Name: Andrew P. Power</w:t>
            </w:r>
          </w:p>
        </w:tc>
        <w:tc>
          <w:tcPr>
            <w:tcW w:w="6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Jeannie Lee</w:t>
            </w:r>
          </w:p>
        </w:tc>
        <w:tc>
          <w:tcPr>
            <w:tcW w:w="142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General</w:t>
            </w:r>
          </w:p>
        </w:tc>
        <w:tc>
          <w:tcPr>
            <w:tcW w:w="14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0" w:type="dxa"/>
            <w:vAlign w:val="bottom"/>
          </w:tcPr>
          <w:p>
            <w:pPr>
              <w:spacing w:after="0"/>
              <w:rPr>
                <w:sz w:val="1"/>
                <w:szCs w:val="1"/>
                <w:color w:val="auto"/>
              </w:rPr>
            </w:pPr>
          </w:p>
        </w:tc>
      </w:tr>
      <w:tr>
        <w:trPr>
          <w:trHeight w:val="234"/>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Counsel and Secretary</w:t>
            </w:r>
          </w:p>
        </w:tc>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440" w:top="270" w:right="7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506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196" w:lineRule="auto"/>
        <w:rPr>
          <w:sz w:val="20"/>
          <w:szCs w:val="20"/>
          <w:color w:val="auto"/>
        </w:rPr>
      </w:pPr>
      <w:r>
        <w:rPr>
          <w:rFonts w:ascii="Times New Roman" w:cs="Times New Roman" w:eastAsia="Times New Roman" w:hAnsi="Times New Roman"/>
          <w:sz w:val="18"/>
          <w:szCs w:val="18"/>
          <w:color w:val="auto"/>
        </w:rPr>
        <w:t>601 West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 78701</w:t>
      </w:r>
    </w:p>
    <w:p>
      <w:pPr>
        <w:spacing w:after="0" w:line="234"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 (Registration Nos. 333-293494 and 333-293494-01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We have served as Maryland counsel to Digital Realty Trust, Inc., a Maryland corporation (the “Company”), in connection with certain matters of Maryland law arising out of the sale and issuance of 12,310,249 shares (the “Shares”) of common stock, $.01 par value per share (the “Common Stock”), of the Company, covered by the above-referenced Registration Statement, and all amendments thereto (the “Registration Statement”), filed by the Company and Digital Realty Trust, L.P., a Maryland limited partnership (the “Operating Partnership”), with the United States Securities and Exchange Commission (the “Commission”) under the Securities Act of 1933, as amended (the “1933 Act”). The Shares will be issued by the Company upon conversion of shares (the “Non-Voting Common Shares”) of the Company’s Non-Voting Common Stock, $.01 par value per share (the “Non-Voting Common Stock”), held by the stockholders of the Company named under the caption “Selling Stockholders” in the Prospectus Supplement (as defined herein) in accordance with the terms thereof set forth in the Articles Supplementary establishing the Non-Voting Common Stock (the “Articles Supplementary”). The Shares will be sold by the Selling Stockholders pursuant to the Underwriting Agreement, dated June 29, 2026 (the “Underwriting Agreement”), by and among the Company, the Operating Partnership, the Selling Stockholders and Morgan Stanley &amp; Co. LLC, as representatives of the several underwriters named therein.</w:t>
      </w:r>
    </w:p>
    <w:p>
      <w:pPr>
        <w:spacing w:after="0" w:line="19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p>
      <w:pPr>
        <w:ind w:left="1160" w:hanging="173"/>
        <w:spacing w:after="0"/>
        <w:tabs>
          <w:tab w:leader="none" w:pos="1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right="780" w:firstLine="987"/>
        <w:spacing w:after="0" w:line="312" w:lineRule="auto"/>
        <w:tabs>
          <w:tab w:leader="none" w:pos="117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dated February 17, 2026, as supplemented by a Prospectus Supplement, dated June 29, 2026 (the “Prospectus Supplement”), filed with the Commission pursuant to Rule 424(b)(2) of the General Rules and Regulations promulgated under the 1933 Act;</w:t>
      </w:r>
    </w:p>
    <w:p>
      <w:pPr>
        <w:sectPr>
          <w:pgSz w:w="11900" w:h="16838" w:orient="portrait"/>
          <w:cols w:equalWidth="0" w:num="1">
            <w:col w:w="11020"/>
          </w:cols>
          <w:pgMar w:left="440" w:top="117"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697865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68730"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28625"/>
                    </a:xfrm>
                    <a:prstGeom prst="rect">
                      <a:avLst/>
                    </a:prstGeom>
                    <a:noFill/>
                  </pic:spPr>
                </pic:pic>
              </a:graphicData>
            </a:graphic>
          </wp:anchor>
        </w:drawing>
        <w:t>Digital Realty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60" w:firstLine="987"/>
        <w:spacing w:after="0" w:line="282" w:lineRule="auto"/>
        <w:tabs>
          <w:tab w:leader="none" w:pos="11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Company, including the Articles Supplementary (the “Charter”), certified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Ninth Amended and Restated Bylaws of the Company, certified as of the date hereof by an officer of the Company;</w:t>
      </w:r>
    </w:p>
    <w:p>
      <w:pPr>
        <w:spacing w:after="0" w:line="22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1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(the “Resolutions”) adopted by the Board of Directors of the Company relating to, among other matters, the authorization of the issuance of the Non-Voting Common Shares and the issuance and registration of the Shares, certified as of the date hereof by an officer of the Company;</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225"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17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Agreement, dated as of June 29, 2026, by and among BIP US Nucleus Aggregator, L.P., BREP US Nucleus Aggregator L.P., BXPE US Lower Fund 2 L.P., BXPE Lux Lower Fund 1 L.P., BTO Nucleus Holdings DE L.P., the Operating Partnership and the Company;</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6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Each individual executing any of the Documents, whether on behalf of such individual or any other person, is legally competent to 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ind w:left="1160" w:hanging="173"/>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1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ectPr>
          <w:pgSz w:w="11900" w:h="16838" w:orient="portrait"/>
          <w:cols w:equalWidth="0" w:num="1">
            <w:col w:w="11000"/>
          </w:cols>
          <w:pgMar w:left="440" w:top="1134"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697865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68730" cy="42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28625"/>
                    </a:xfrm>
                    <a:prstGeom prst="rect">
                      <a:avLst/>
                    </a:prstGeom>
                    <a:noFill/>
                  </pic:spPr>
                </pic:pic>
              </a:graphicData>
            </a:graphic>
          </wp:anchor>
        </w:drawing>
        <w:t>Digital Realty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40" w:firstLine="987"/>
        <w:spacing w:after="0" w:line="256" w:lineRule="auto"/>
        <w:tabs>
          <w:tab w:leader="none" w:pos="11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right="400" w:firstLine="987"/>
        <w:spacing w:after="0" w:line="282" w:lineRule="auto"/>
        <w:tabs>
          <w:tab w:leader="none" w:pos="11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Common Shares were not issued or transferred, and the Shares will not be issued or transferred, in violation of the restrictions on transfer and ownership set forth in Article VI of the Charter.</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1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in the Offering (as defined in the Underwriting Agreement) is an Affiliate of an Initial Holder (each as defined in the Articles Supplementary).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260" w:firstLine="987"/>
        <w:spacing w:after="0" w:line="282" w:lineRule="auto"/>
        <w:tabs>
          <w:tab w:leader="none" w:pos="11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 good standing with the SDAT.</w:t>
      </w:r>
    </w:p>
    <w:p>
      <w:pPr>
        <w:spacing w:after="0" w:line="161"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1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and, when and to the extent issued and delivered by the Company upon conversion of the Non-Voting Common Shares in accordance with the Underwriting Agreement, the Articles Supplementary and the Resolutions, the Shares will be validly issued, fully paid and nonassessable.</w:t>
      </w:r>
    </w:p>
    <w:p>
      <w:pPr>
        <w:spacing w:after="0" w:line="176"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foregoing opinion is limited to the laws of the State of Maryland and we do not express any opinion herein concerning federal law or the laws of any other state. We express no opinion as to compliance with any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w:t>
      </w:r>
    </w:p>
    <w:p>
      <w:pPr>
        <w:sectPr>
          <w:pgSz w:w="11900" w:h="16838" w:orient="portrait"/>
          <w:cols w:equalWidth="0" w:num="1">
            <w:col w:w="11000"/>
          </w:cols>
          <w:pgMar w:left="440" w:top="1134"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697865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68730" cy="42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28625"/>
                    </a:xfrm>
                    <a:prstGeom prst="rect">
                      <a:avLst/>
                    </a:prstGeom>
                    <a:noFill/>
                  </pic:spPr>
                </pic:pic>
              </a:graphicData>
            </a:graphic>
          </wp:anchor>
        </w:drawing>
        <w:t>Digital Realty Trust,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Offering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Venable LLP</w:t>
      </w:r>
    </w:p>
    <w:sectPr>
      <w:pgSz w:w="11900" w:h="16838" w:orient="portrait"/>
      <w:cols w:equalWidth="0" w:num="1">
        <w:col w:w="10940"/>
      </w:cols>
      <w:pgMar w:left="440" w:top="113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Letter"/>
      <w:start w:val="1"/>
    </w:lvl>
    <w:lvl w:ilvl="1">
      <w:lvlJc w:val="left"/>
      <w:lvlText w:val="(%2)"/>
      <w:numFmt w:val="lowerLetter"/>
      <w:start w:val="9"/>
    </w:lvl>
  </w:abstractNum>
  <w:abstractNum w:abstractNumId="2">
    <w:nsid w:val="2CA88611"/>
    <w:multiLevelType w:val="hybridMultilevel"/>
    <w:lvl w:ilvl="0">
      <w:lvlJc w:val="left"/>
      <w:lvlText w:val="(%1)"/>
      <w:numFmt w:val="lowerRoman"/>
      <w:start w:val="2"/>
    </w:lvl>
  </w:abstractNum>
  <w:abstractNum w:abstractNumId="3">
    <w:nsid w:val="836C40E"/>
    <w:multiLevelType w:val="hybridMultilevel"/>
    <w:lvl w:ilvl="0">
      <w:lvlJc w:val="left"/>
      <w:lvlText w:val="(%1)"/>
      <w:numFmt w:val="upperLetter"/>
      <w:start w:val="2"/>
    </w:lvl>
    <w:lvl w:ilvl="1">
      <w:lvlJc w:val="left"/>
      <w:lvlText w:val="(%2)"/>
      <w:numFmt w:val="lowerRoman"/>
      <w:start w:val="3"/>
    </w:lvl>
  </w:abstractNum>
  <w:abstractNum w:abstractNumId="4">
    <w:nsid w:val="2901D82"/>
    <w:multiLevelType w:val="hybridMultilevel"/>
    <w:lvl w:ilvl="0">
      <w:lvlJc w:val="left"/>
      <w:lvlText w:val="(%1)"/>
      <w:numFmt w:val="lowerRoman"/>
      <w:start w:val="5"/>
    </w:lvl>
  </w:abstractNum>
  <w:abstractNum w:abstractNumId="5">
    <w:nsid w:val="3A95F874"/>
    <w:multiLevelType w:val="hybridMultilevel"/>
    <w:lvl w:ilvl="0">
      <w:lvlJc w:val="left"/>
      <w:lvlText w:val="%1"/>
      <w:numFmt w:val="lowerRoman"/>
      <w:start w:val="1"/>
    </w:lvl>
    <w:lvl w:ilvl="1">
      <w:lvlJc w:val="left"/>
      <w:lvlText w:val="(%2)"/>
      <w:numFmt w:val="lowerRoman"/>
      <w:start w:val="8"/>
    </w:lvl>
  </w:abstractNum>
  <w:abstractNum w:abstractNumId="6">
    <w:nsid w:val="8138641"/>
    <w:multiLevelType w:val="hybridMultilevel"/>
    <w:lvl w:ilvl="0">
      <w:lvlJc w:val="left"/>
      <w:lvlText w:val="(%1)"/>
      <w:numFmt w:val="lowerRoman"/>
      <w:start w:val="4"/>
    </w:lvl>
    <w:lvl w:ilvl="1">
      <w:lvlJc w:val="left"/>
      <w:lvlText w:val="(%2)"/>
      <w:numFmt w:val="lowerRoman"/>
      <w:start w:val="11"/>
    </w:lvl>
  </w:abstractNum>
  <w:abstractNum w:abstractNumId="7">
    <w:nsid w:val="1E7FF521"/>
    <w:multiLevelType w:val="hybridMultilevel"/>
    <w:lvl w:ilvl="0">
      <w:lvlJc w:val="left"/>
      <w:lvlText w:val="(%1)"/>
      <w:numFmt w:val="lowerRoman"/>
      <w:start w:val="12"/>
    </w:lvl>
  </w:abstractNum>
  <w:abstractNum w:abstractNumId="8">
    <w:nsid w:val="7C3DBD3D"/>
    <w:multiLevelType w:val="hybridMultilevel"/>
    <w:lvl w:ilvl="0">
      <w:lvlJc w:val="left"/>
      <w:lvlText w:val="(%1)"/>
      <w:numFmt w:val="lowerRoman"/>
      <w:start w:val="14"/>
    </w:lvl>
  </w:abstractNum>
  <w:abstractNum w:abstractNumId="9">
    <w:nsid w:val="737B8DDC"/>
    <w:multiLevelType w:val="hybridMultilevel"/>
    <w:lvl w:ilvl="0">
      <w:lvlJc w:val="left"/>
      <w:lvlText w:val="(%1)"/>
      <w:numFmt w:val="lowerRoman"/>
      <w:start w:val="19"/>
    </w:lvl>
  </w:abstractNum>
  <w:abstractNum w:abstractNumId="10">
    <w:nsid w:val="6CEAF087"/>
    <w:multiLevelType w:val="hybridMultilevel"/>
    <w:lvl w:ilvl="0">
      <w:lvlJc w:val="left"/>
      <w:lvlText w:val="(%1)"/>
      <w:numFmt w:val="upperLetter"/>
      <w:start w:val="1"/>
    </w:lvl>
    <w:lvl w:ilvl="1">
      <w:lvlJc w:val="left"/>
      <w:lvlText w:val="(%2)"/>
      <w:numFmt w:val="lowerRoman"/>
      <w:start w:val="24"/>
    </w:lvl>
  </w:abstractNum>
  <w:abstractNum w:abstractNumId="11">
    <w:nsid w:val="22221A70"/>
    <w:multiLevelType w:val="hybridMultilevel"/>
    <w:lvl w:ilvl="0">
      <w:lvlJc w:val="left"/>
      <w:lvlText w:val="%1"/>
      <w:numFmt w:val="lowerRoman"/>
      <w:start w:val="1"/>
    </w:lvl>
    <w:lvl w:ilvl="1">
      <w:lvlJc w:val="left"/>
      <w:lvlText w:val="(%2)"/>
      <w:numFmt w:val="lowerRoman"/>
      <w:start w:val="27"/>
    </w:lvl>
  </w:abstractNum>
  <w:abstractNum w:abstractNumId="12">
    <w:nsid w:val="4516DDE9"/>
    <w:multiLevelType w:val="hybridMultilevel"/>
    <w:lvl w:ilvl="0">
      <w:lvlJc w:val="left"/>
      <w:lvlText w:val="(%1)"/>
      <w:numFmt w:val="lowerRoman"/>
      <w:start w:val="2"/>
    </w:lvl>
    <w:lvl w:ilvl="1">
      <w:lvlJc w:val="left"/>
      <w:lvlText w:val="(%2)"/>
      <w:numFmt w:val="lowerRoman"/>
      <w:start w:val="28"/>
    </w:lvl>
  </w:abstractNum>
  <w:abstractNum w:abstractNumId="13">
    <w:nsid w:val="3006C83E"/>
    <w:multiLevelType w:val="hybridMultilevel"/>
    <w:lvl w:ilvl="0">
      <w:lvlJc w:val="left"/>
      <w:lvlText w:val="(%1)"/>
      <w:numFmt w:val="lowerRoman"/>
      <w:start w:val="31"/>
    </w:lvl>
  </w:abstractNum>
  <w:abstractNum w:abstractNumId="14">
    <w:nsid w:val="614FD4A1"/>
    <w:multiLevelType w:val="hybridMultilevel"/>
    <w:lvl w:ilvl="0">
      <w:lvlJc w:val="left"/>
      <w:lvlText w:val="(%1)"/>
      <w:numFmt w:val="lowerRoman"/>
      <w:start w:val="36"/>
    </w:lvl>
  </w:abstractNum>
  <w:abstractNum w:abstractNumId="15">
    <w:nsid w:val="419AC241"/>
    <w:multiLevelType w:val="hybridMultilevel"/>
    <w:lvl w:ilvl="0">
      <w:lvlJc w:val="left"/>
      <w:lvlText w:val="(%1)"/>
      <w:numFmt w:val="lowerLetter"/>
      <w:start w:val="2"/>
    </w:lvl>
    <w:lvl w:ilvl="1">
      <w:lvlJc w:val="left"/>
      <w:lvlText w:val="(%2)"/>
      <w:numFmt w:val="lowerRoman"/>
      <w:start w:val="1"/>
    </w:lvl>
  </w:abstractNum>
  <w:abstractNum w:abstractNumId="16">
    <w:nsid w:val="5577F8E1"/>
    <w:multiLevelType w:val="hybridMultilevel"/>
    <w:lvl w:ilvl="0">
      <w:lvlJc w:val="left"/>
      <w:lvlText w:val="%1"/>
      <w:numFmt w:val="lowerRoman"/>
      <w:start w:val="1"/>
    </w:lvl>
    <w:lvl w:ilvl="1">
      <w:lvlJc w:val="left"/>
      <w:lvlText w:val="(%2)"/>
      <w:numFmt w:val="lowerRoman"/>
      <w:start w:val="3"/>
    </w:lvl>
  </w:abstractNum>
  <w:abstractNum w:abstractNumId="17">
    <w:nsid w:val="440BADFC"/>
    <w:multiLevelType w:val="hybridMultilevel"/>
    <w:lvl w:ilvl="0">
      <w:lvlJc w:val="left"/>
      <w:lvlText w:val="(%1)"/>
      <w:numFmt w:val="lowerRoman"/>
      <w:start w:val="10"/>
    </w:lvl>
    <w:lvl w:ilvl="1">
      <w:lvlJc w:val="left"/>
      <w:lvlText w:val="(%2)"/>
      <w:numFmt w:val="lowerRoman"/>
      <w:start w:val="6"/>
    </w:lvl>
  </w:abstractNum>
  <w:abstractNum w:abstractNumId="18">
    <w:nsid w:val="5072367"/>
    <w:multiLevelType w:val="hybridMultilevel"/>
    <w:lvl w:ilvl="0">
      <w:lvlJc w:val="left"/>
      <w:lvlText w:val="(%1)"/>
      <w:numFmt w:val="lowerRoman"/>
      <w:start w:val="8"/>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3"/>
    </w:lvl>
  </w:abstractNum>
  <w:abstractNum w:abstractNumId="22">
    <w:nsid w:val="5C482A97"/>
    <w:multiLevelType w:val="hybridMultilevel"/>
    <w:lvl w:ilvl="0">
      <w:lvlJc w:val="left"/>
      <w:lvlText w:val="%1"/>
      <w:numFmt w:val="lowerLetter"/>
      <w:start w:val="1"/>
    </w:lvl>
    <w:lvl w:ilvl="1">
      <w:lvlJc w:val="left"/>
      <w:lvlText w:val="(%2)"/>
      <w:numFmt w:val="lowerLetter"/>
      <w:start w:val="9"/>
    </w:lvl>
  </w:abstractNum>
  <w:abstractNum w:abstractNumId="23">
    <w:nsid w:val="2463B9EA"/>
    <w:multiLevelType w:val="hybridMultilevel"/>
    <w:lvl w:ilvl="0">
      <w:lvlJc w:val="left"/>
      <w:lvlText w:val="(%1)"/>
      <w:numFmt w:val="lowerLetter"/>
      <w:start w:val="25"/>
    </w:lvl>
    <w:lvl w:ilvl="1">
      <w:lvlJc w:val="left"/>
      <w:lvlText w:val="(%2)"/>
      <w:numFmt w:val="lowerLetter"/>
      <w:start w:val="10"/>
    </w:lvl>
  </w:abstractNum>
  <w:abstractNum w:abstractNumId="24">
    <w:nsid w:val="5E884ADC"/>
    <w:multiLevelType w:val="hybridMultilevel"/>
    <w:lvl w:ilvl="0">
      <w:lvlJc w:val="left"/>
      <w:lvlText w:val="(%1)"/>
      <w:numFmt w:val="lowerLetter"/>
      <w:start w:val="12"/>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Roman"/>
      <w:start w:val="9"/>
    </w:lvl>
  </w:abstractNum>
  <w:abstractNum w:abstractNumId="28">
    <w:nsid w:val="153EA438"/>
    <w:multiLevelType w:val="hybridMultilevel"/>
    <w:lvl w:ilvl="0">
      <w:lvlJc w:val="left"/>
      <w:lvlText w:val="(%1)"/>
      <w:numFmt w:val="lowerLetter"/>
      <w:start w:val="2"/>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2"/>
    </w:lvl>
  </w:abstractNum>
  <w:abstractNum w:abstractNumId="31">
    <w:nsid w:val="6A2342EC"/>
    <w:multiLevelType w:val="hybridMultilevel"/>
    <w:lvl w:ilvl="0">
      <w:lvlJc w:val="left"/>
      <w:lvlText w:val="(%1)"/>
      <w:numFmt w:val="lowerLetter"/>
      <w:start w:val="8"/>
    </w:lvl>
  </w:abstractNum>
  <w:abstractNum w:abstractNumId="32">
    <w:nsid w:val="2A487CB0"/>
    <w:multiLevelType w:val="hybridMultilevel"/>
    <w:lvl w:ilvl="0">
      <w:lvlJc w:val="left"/>
      <w:lvlText w:val="(%1)"/>
      <w:numFmt w:val="lowerLetter"/>
      <w:start w:val="14"/>
    </w:lvl>
  </w:abstractNum>
  <w:abstractNum w:abstractNumId="33">
    <w:nsid w:val="1D4ED43B"/>
    <w:multiLevelType w:val="hybridMultilevel"/>
    <w:lvl w:ilvl="0">
      <w:lvlJc w:val="left"/>
      <w:lvlText w:val="(%1)"/>
      <w:numFmt w:val="lowerLetter"/>
      <w:start w:val="16"/>
    </w:lvl>
  </w:abstractNum>
  <w:abstractNum w:abstractNumId="34">
    <w:nsid w:val="725A06FB"/>
    <w:multiLevelType w:val="hybridMultilevel"/>
    <w:lvl w:ilvl="0">
      <w:lvlJc w:val="left"/>
      <w:lvlText w:val="(%1)"/>
      <w:numFmt w:val="lowerLetter"/>
      <w:start w:val="1"/>
    </w:lvl>
    <w:lvl w:ilvl="1">
      <w:lvlJc w:val="left"/>
      <w:lvlText w:val="(%2)"/>
      <w:numFmt w:val="lowerRoman"/>
      <w:start w:val="1"/>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1)"/>
      <w:numFmt w:val="lowerLetter"/>
      <w:start w:val="5"/>
    </w:lvl>
  </w:abstractNum>
  <w:abstractNum w:abstractNumId="37">
    <w:nsid w:val="7A6D8D3C"/>
    <w:multiLevelType w:val="hybridMultilevel"/>
    <w:lvl w:ilvl="0">
      <w:lvlJc w:val="left"/>
      <w:lvlText w:val="(%1)"/>
      <w:numFmt w:val="lowerRoman"/>
      <w:start w:val="1"/>
    </w:lvl>
  </w:abstractNum>
  <w:abstractNum w:abstractNumId="38">
    <w:nsid w:val="4B588F54"/>
    <w:multiLevelType w:val="hybridMultilevel"/>
    <w:lvl w:ilvl="0">
      <w:lvlJc w:val="left"/>
      <w:lvlText w:val="(%1)"/>
      <w:numFmt w:val="lowerLetter"/>
      <w:start w:val="35"/>
    </w:lvl>
    <w:lvl w:ilvl="1">
      <w:lvlJc w:val="left"/>
      <w:lvlText w:val="(%2)"/>
      <w:numFmt w:val="lowerLetter"/>
      <w:start w:val="1"/>
    </w:lvl>
  </w:abstractNum>
  <w:abstractNum w:abstractNumId="39">
    <w:nsid w:val="542289EC"/>
    <w:multiLevelType w:val="hybridMultilevel"/>
    <w:lvl w:ilvl="0">
      <w:lvlJc w:val="left"/>
      <w:lvlText w:val="(%1)"/>
      <w:numFmt w:val="lowerLetter"/>
      <w:start w:val="2"/>
    </w:lvl>
  </w:abstractNum>
  <w:abstractNum w:abstractNumId="40">
    <w:nsid w:val="6DE91B18"/>
    <w:multiLevelType w:val="hybridMultilevel"/>
    <w:lvl w:ilvl="0">
      <w:lvlJc w:val="left"/>
      <w:lvlText w:val="(%1)"/>
      <w:numFmt w:val="lowerRoman"/>
      <w:start w:val="1"/>
    </w:lvl>
  </w:abstractNum>
  <w:abstractNum w:abstractNumId="41">
    <w:nsid w:val="38437FDB"/>
    <w:multiLevelType w:val="hybridMultilevel"/>
    <w:lvl w:ilvl="0">
      <w:lvlJc w:val="left"/>
      <w:lvlText w:val="(%1)"/>
      <w:numFmt w:val="lowerRoman"/>
      <w:start w:val="3"/>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 "/>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3"/>
    </w:lvl>
  </w:abstractNum>
  <w:abstractNum w:abstractNumId="47">
    <w:nsid w:val="3DC240FB"/>
    <w:multiLevelType w:val="hybridMultilevel"/>
    <w:lvl w:ilvl="0">
      <w:lvlJc w:val="left"/>
      <w:lvlText w:val="(%1)"/>
      <w:numFmt w:val="decimal"/>
      <w:start w:val="5"/>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3"/>
    </w:lvl>
  </w:abstractNum>
  <w:abstractNum w:abstractNumId="50">
    <w:nsid w:val="75C6C33A"/>
    <w:multiLevelType w:val="hybridMultilevel"/>
    <w:lvl w:ilvl="0">
      <w:lvlJc w:val="left"/>
      <w:lvlText w:val="%1."/>
      <w:numFmt w:val="decimal"/>
      <w:start w:val="2"/>
    </w:lvl>
  </w:abstractNum>
  <w:abstractNum w:abstractNumId="51">
    <w:nsid w:val="12E685FB"/>
    <w:multiLevelType w:val="hybridMultilevel"/>
    <w:lvl w:ilvl="0">
      <w:lvlJc w:val="left"/>
      <w:lvlText w:val="%1."/>
      <w:numFmt w:val="decimal"/>
      <w:start w:val="4"/>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2026-07-01T15:23:36Z</dcterms:created>
  <dcterms:modified xsi:type="dcterms:W3CDTF">2026-07-01T15:23:36Z</dcterms:modified>
</cp:coreProperties>
</file>