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149860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173355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00" w:hanging="450"/>
        <w:spacing w:after="0"/>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48" w:lineRule="exact"/>
        <w:rPr>
          <w:sz w:val="24"/>
          <w:szCs w:val="24"/>
          <w:color w:val="auto"/>
        </w:rPr>
      </w:pPr>
    </w:p>
    <w:p>
      <w:pPr>
        <w:ind w:left="500" w:hanging="450"/>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2" w:lineRule="exact"/>
        <w:rPr>
          <w:sz w:val="24"/>
          <w:szCs w:val="24"/>
          <w:color w:val="auto"/>
        </w:rPr>
      </w:pPr>
    </w:p>
    <w:p>
      <w:pPr>
        <w:ind w:left="2580"/>
        <w:spacing w:after="0"/>
        <w:tabs>
          <w:tab w:leader="none" w:pos="5620" w:val="left"/>
          <w:tab w:leader="none" w:pos="6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44" w:lineRule="exact"/>
        <w:rPr>
          <w:sz w:val="24"/>
          <w:szCs w:val="24"/>
          <w:color w:val="auto"/>
        </w:rPr>
      </w:pPr>
    </w:p>
    <w:p>
      <w:pPr>
        <w:jc w:val="right"/>
        <w:ind w:right="2119"/>
        <w:spacing w:after="0"/>
        <w:rPr>
          <w:sz w:val="20"/>
          <w:szCs w:val="20"/>
          <w:color w:val="auto"/>
        </w:rPr>
      </w:pPr>
      <w:r>
        <w:rPr>
          <w:rFonts w:ascii="Times New Roman" w:cs="Times New Roman" w:eastAsia="Times New Roman" w:hAnsi="Times New Roman"/>
          <w:sz w:val="18"/>
          <w:szCs w:val="18"/>
          <w:b w:val="1"/>
          <w:bCs w:val="1"/>
          <w:color w:val="auto"/>
        </w:rPr>
        <w:t>Commission file number 001-32336 (Digital Realty Trust, Inc.)</w:t>
      </w:r>
    </w:p>
    <w:p>
      <w:pPr>
        <w:spacing w:after="0" w:line="31" w:lineRule="exact"/>
        <w:rPr>
          <w:sz w:val="24"/>
          <w:szCs w:val="24"/>
          <w:color w:val="auto"/>
        </w:rPr>
      </w:pPr>
    </w:p>
    <w:p>
      <w:pPr>
        <w:jc w:val="right"/>
        <w:ind w:right="2119"/>
        <w:spacing w:after="0"/>
        <w:rPr>
          <w:sz w:val="20"/>
          <w:szCs w:val="20"/>
          <w:color w:val="auto"/>
        </w:rPr>
      </w:pPr>
      <w:r>
        <w:rPr>
          <w:rFonts w:ascii="Times New Roman" w:cs="Times New Roman" w:eastAsia="Times New Roman" w:hAnsi="Times New Roman"/>
          <w:sz w:val="18"/>
          <w:szCs w:val="18"/>
          <w:b w:val="1"/>
          <w:bCs w:val="1"/>
          <w:color w:val="auto"/>
        </w:rPr>
        <w:t>000-54023 (Digital Realty Trust,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74295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58"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32"/>
          <w:szCs w:val="32"/>
          <w:b w:val="1"/>
          <w:bCs w:val="1"/>
          <w:color w:val="auto"/>
        </w:rPr>
        <w:t>DIGITAL REALTY TRUST, INC.</w:t>
      </w:r>
    </w:p>
    <w:p>
      <w:pPr>
        <w:spacing w:after="0" w:line="39"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32"/>
          <w:szCs w:val="32"/>
          <w:b w:val="1"/>
          <w:bCs w:val="1"/>
          <w:color w:val="auto"/>
        </w:rPr>
        <w:t>DIGITAL REALTY TRUST, L.P.</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(Digital Realty Trust, Inc.)</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center"/>
              <w:ind w:left="659"/>
              <w:spacing w:after="0"/>
              <w:rPr>
                <w:sz w:val="20"/>
                <w:szCs w:val="20"/>
                <w:color w:val="auto"/>
              </w:rPr>
            </w:pPr>
            <w:r>
              <w:rPr>
                <w:rFonts w:ascii="Times New Roman" w:cs="Times New Roman" w:eastAsia="Times New Roman" w:hAnsi="Times New Roman"/>
                <w:sz w:val="18"/>
                <w:szCs w:val="18"/>
                <w:b w:val="1"/>
                <w:bCs w:val="1"/>
                <w:color w:val="auto"/>
                <w:w w:val="98"/>
              </w:rPr>
              <w:t>26-0081711</w:t>
            </w:r>
          </w:p>
        </w:tc>
        <w:tc>
          <w:tcPr>
            <w:tcW w:w="0" w:type="dxa"/>
            <w:vAlign w:val="bottom"/>
          </w:tcPr>
          <w:p>
            <w:pPr>
              <w:spacing w:after="0"/>
              <w:rPr>
                <w:sz w:val="1"/>
                <w:szCs w:val="1"/>
                <w:color w:val="auto"/>
              </w:rPr>
            </w:pPr>
          </w:p>
        </w:tc>
      </w:tr>
      <w:tr>
        <w:trPr>
          <w:trHeight w:val="212"/>
        </w:trPr>
        <w:tc>
          <w:tcPr>
            <w:tcW w:w="88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(Digital Realty Trust, L.P.)</w:t>
            </w:r>
          </w:p>
        </w:tc>
        <w:tc>
          <w:tcPr>
            <w:tcW w:w="1200" w:type="dxa"/>
            <w:vAlign w:val="bottom"/>
          </w:tcPr>
          <w:p>
            <w:pPr>
              <w:spacing w:after="0"/>
              <w:rPr>
                <w:sz w:val="18"/>
                <w:szCs w:val="18"/>
                <w:color w:val="auto"/>
              </w:rPr>
            </w:pPr>
          </w:p>
        </w:tc>
        <w:tc>
          <w:tcPr>
            <w:tcW w:w="2120" w:type="dxa"/>
            <w:vAlign w:val="bottom"/>
          </w:tcPr>
          <w:p>
            <w:pPr>
              <w:jc w:val="center"/>
              <w:ind w:left="659"/>
              <w:spacing w:after="0"/>
              <w:rPr>
                <w:sz w:val="20"/>
                <w:szCs w:val="20"/>
                <w:color w:val="auto"/>
              </w:rPr>
            </w:pPr>
            <w:r>
              <w:rPr>
                <w:rFonts w:ascii="Times New Roman" w:cs="Times New Roman" w:eastAsia="Times New Roman" w:hAnsi="Times New Roman"/>
                <w:sz w:val="18"/>
                <w:szCs w:val="18"/>
                <w:b w:val="1"/>
                <w:bCs w:val="1"/>
                <w:color w:val="auto"/>
                <w:w w:val="98"/>
              </w:rPr>
              <w:t>20-2402955</w:t>
            </w:r>
          </w:p>
        </w:tc>
        <w:tc>
          <w:tcPr>
            <w:tcW w:w="0" w:type="dxa"/>
            <w:vAlign w:val="bottom"/>
          </w:tcPr>
          <w:p>
            <w:pPr>
              <w:spacing w:after="0"/>
              <w:rPr>
                <w:sz w:val="1"/>
                <w:szCs w:val="1"/>
                <w:color w:val="auto"/>
              </w:rPr>
            </w:pPr>
          </w:p>
        </w:tc>
      </w:tr>
      <w:tr>
        <w:trPr>
          <w:trHeight w:val="148"/>
        </w:trPr>
        <w:tc>
          <w:tcPr>
            <w:tcW w:w="342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0" w:type="dxa"/>
            <w:vAlign w:val="bottom"/>
          </w:tcPr>
          <w:p>
            <w:pPr>
              <w:spacing w:after="0"/>
              <w:rPr>
                <w:sz w:val="12"/>
                <w:szCs w:val="12"/>
                <w:color w:val="auto"/>
              </w:rPr>
            </w:pPr>
          </w:p>
        </w:tc>
        <w:tc>
          <w:tcPr>
            <w:tcW w:w="212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4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0" w:type="dxa"/>
            <w:vAlign w:val="bottom"/>
          </w:tcPr>
          <w:p>
            <w:pPr>
              <w:spacing w:after="0"/>
              <w:rPr>
                <w:sz w:val="16"/>
                <w:szCs w:val="16"/>
                <w:color w:val="auto"/>
              </w:rPr>
            </w:pPr>
          </w:p>
        </w:tc>
        <w:tc>
          <w:tcPr>
            <w:tcW w:w="212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601 West 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b w:val="1"/>
          <w:bCs w:val="1"/>
          <w:color w:val="auto"/>
        </w:rPr>
        <w:t xml:space="preserve"> Street, Floor 32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Austin, Texas 78701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(737) 281-0101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9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Trading symbol(s)</w:t>
            </w:r>
            <w:r>
              <w:rPr>
                <w:rFonts w:ascii="Times New Roman" w:cs="Times New Roman" w:eastAsia="Times New Roman" w:hAnsi="Times New Roman"/>
                <w:sz w:val="18"/>
                <w:szCs w:val="18"/>
                <w:b w:val="1"/>
                <w:bCs w:val="1"/>
                <w:color w:val="auto"/>
              </w:rPr>
              <w:t xml:space="preserve">   ​​​</w:t>
            </w:r>
          </w:p>
        </w:tc>
        <w:tc>
          <w:tcPr>
            <w:tcW w:w="3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DLR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94"/>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J Cumulative Redeemable Preferred Stock</w:t>
            </w:r>
          </w:p>
        </w:tc>
        <w:tc>
          <w:tcPr>
            <w:tcW w:w="22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DLR Pr J</w:t>
            </w:r>
          </w:p>
        </w:tc>
        <w:tc>
          <w:tcPr>
            <w:tcW w:w="316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K Cumulative Redeemable Preferred Stock</w:t>
            </w:r>
          </w:p>
        </w:tc>
        <w:tc>
          <w:tcPr>
            <w:tcW w:w="22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DLR Pr K</w:t>
            </w:r>
          </w:p>
        </w:tc>
        <w:tc>
          <w:tcPr>
            <w:tcW w:w="316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L Cumulative Redeemable Preferred Stock</w:t>
            </w:r>
          </w:p>
        </w:tc>
        <w:tc>
          <w:tcPr>
            <w:tcW w:w="220" w:type="dxa"/>
            <w:vAlign w:val="bottom"/>
          </w:tcPr>
          <w:p>
            <w:pPr>
              <w:spacing w:after="0"/>
              <w:rPr>
                <w:sz w:val="20"/>
                <w:szCs w:val="20"/>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DLR Pr L</w:t>
            </w:r>
          </w:p>
        </w:tc>
        <w:tc>
          <w:tcPr>
            <w:tcW w:w="316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Realty Trust, Inc.</w:t>
            </w:r>
          </w:p>
        </w:tc>
        <w:tc>
          <w:tcPr>
            <w:tcW w:w="29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Realty Trust, L.P.</w:t>
            </w:r>
          </w:p>
        </w:tc>
        <w:tc>
          <w:tcPr>
            <w:tcW w:w="2920" w:type="dxa"/>
            <w:vAlign w:val="bottom"/>
          </w:tcPr>
          <w:p>
            <w:pPr>
              <w:spacing w:after="0"/>
              <w:rPr>
                <w:sz w:val="24"/>
                <w:szCs w:val="24"/>
                <w:color w:val="auto"/>
              </w:rPr>
            </w:pP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663"/>
        </w:trPr>
        <w:tc>
          <w:tcPr>
            <w:tcW w:w="3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Inc.</w:t>
            </w:r>
          </w:p>
        </w:tc>
        <w:tc>
          <w:tcPr>
            <w:tcW w:w="29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L.P.</w:t>
            </w:r>
          </w:p>
        </w:tc>
        <w:tc>
          <w:tcPr>
            <w:tcW w:w="2920" w:type="dxa"/>
            <w:vAlign w:val="bottom"/>
          </w:tcPr>
          <w:p>
            <w:pPr>
              <w:spacing w:after="0"/>
              <w:rPr>
                <w:sz w:val="24"/>
                <w:szCs w:val="24"/>
                <w:color w:val="auto"/>
              </w:rPr>
            </w:pP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4"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vMerge w:val="restart"/>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28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31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Accelerated filer</w:t>
            </w:r>
          </w:p>
        </w:tc>
        <w:tc>
          <w:tcPr>
            <w:tcW w:w="280" w:type="dxa"/>
            <w:vAlign w:val="bottom"/>
            <w:vMerge w:val="restart"/>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280" w:type="dxa"/>
            <w:vAlign w:val="bottom"/>
          </w:tcPr>
          <w:p>
            <w:pPr>
              <w:spacing w:after="0"/>
              <w:rPr>
                <w:sz w:val="24"/>
                <w:szCs w:val="24"/>
                <w:color w:val="auto"/>
              </w:rPr>
            </w:pPr>
          </w:p>
        </w:tc>
        <w:tc>
          <w:tcPr>
            <w:tcW w:w="31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351"/>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3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Realty Trust, L.P.:</w:t>
            </w:r>
          </w:p>
        </w:tc>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vMerge w:val="restart"/>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28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31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Accelerated filer</w:t>
            </w:r>
          </w:p>
        </w:tc>
        <w:tc>
          <w:tcPr>
            <w:tcW w:w="280" w:type="dxa"/>
            <w:vAlign w:val="bottom"/>
            <w:vMerge w:val="restart"/>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280" w:type="dxa"/>
            <w:vAlign w:val="bottom"/>
          </w:tcPr>
          <w:p>
            <w:pPr>
              <w:spacing w:after="0"/>
              <w:rPr>
                <w:sz w:val="24"/>
                <w:szCs w:val="24"/>
                <w:color w:val="auto"/>
              </w:rPr>
            </w:pPr>
          </w:p>
        </w:tc>
        <w:tc>
          <w:tcPr>
            <w:tcW w:w="31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351"/>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Inc.</w:t>
            </w:r>
          </w:p>
        </w:tc>
        <w:tc>
          <w:tcPr>
            <w:tcW w:w="35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tcPr>
          <w:p>
            <w:pPr>
              <w:ind w:left="2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L.P.</w:t>
            </w:r>
          </w:p>
        </w:tc>
        <w:tc>
          <w:tcPr>
            <w:tcW w:w="3520" w:type="dxa"/>
            <w:vAlign w:val="bottom"/>
          </w:tcPr>
          <w:p>
            <w:pPr>
              <w:spacing w:after="0"/>
              <w:rPr>
                <w:sz w:val="24"/>
                <w:szCs w:val="24"/>
                <w:color w:val="auto"/>
              </w:rPr>
            </w:pPr>
          </w:p>
        </w:tc>
        <w:tc>
          <w:tcPr>
            <w:tcW w:w="2280" w:type="dxa"/>
            <w:vAlign w:val="bottom"/>
          </w:tcPr>
          <w:p>
            <w:pPr>
              <w:ind w:left="212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Inc.</w:t>
            </w:r>
          </w:p>
        </w:tc>
        <w:tc>
          <w:tcPr>
            <w:tcW w:w="29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4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30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L.P.</w:t>
            </w:r>
          </w:p>
        </w:tc>
        <w:tc>
          <w:tcPr>
            <w:tcW w:w="2920" w:type="dxa"/>
            <w:vAlign w:val="bottom"/>
          </w:tcPr>
          <w:p>
            <w:pPr>
              <w:spacing w:after="0"/>
              <w:rPr>
                <w:sz w:val="24"/>
                <w:szCs w:val="24"/>
                <w:color w:val="auto"/>
              </w:rPr>
            </w:pP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Yes</w:t>
            </w:r>
          </w:p>
        </w:tc>
        <w:tc>
          <w:tcPr>
            <w:tcW w:w="34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30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80" w:type="dxa"/>
            <w:vAlign w:val="bottom"/>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Outstanding at October 27, 2026</w:t>
            </w:r>
          </w:p>
        </w:tc>
      </w:tr>
      <w:tr>
        <w:trPr>
          <w:trHeight w:val="37"/>
        </w:trPr>
        <w:tc>
          <w:tcPr>
            <w:tcW w:w="2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$.01 par value per share</w:t>
            </w:r>
          </w:p>
        </w:tc>
        <w:tc>
          <w:tcPr>
            <w:tcW w:w="400" w:type="dxa"/>
            <w:vAlign w:val="bottom"/>
          </w:tcPr>
          <w:p>
            <w:pPr>
              <w:spacing w:after="0"/>
              <w:rPr>
                <w:sz w:val="15"/>
                <w:szCs w:val="15"/>
                <w:color w:val="auto"/>
              </w:rPr>
            </w:pPr>
          </w:p>
        </w:tc>
        <w:tc>
          <w:tcPr>
            <w:tcW w:w="4880" w:type="dxa"/>
            <w:vAlign w:val="bottom"/>
          </w:tcPr>
          <w:p>
            <w:pPr>
              <w:jc w:val="right"/>
              <w:ind w:right="2048"/>
              <w:spacing w:after="0"/>
              <w:rPr>
                <w:sz w:val="20"/>
                <w:szCs w:val="20"/>
                <w:color w:val="auto"/>
              </w:rPr>
            </w:pPr>
            <w:r>
              <w:rPr>
                <w:rFonts w:ascii="Times New Roman" w:cs="Times New Roman" w:eastAsia="Times New Roman" w:hAnsi="Times New Roman"/>
                <w:sz w:val="14"/>
                <w:szCs w:val="14"/>
                <w:color w:val="auto"/>
              </w:rPr>
              <w:t>378,325,814</w:t>
            </w:r>
          </w:p>
        </w:tc>
      </w:tr>
      <w:tr>
        <w:trPr>
          <w:trHeight w:val="392"/>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September 30, 2026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real estate investment trust, or REIT, for U.S. federal income tax purposes, such terms refer solely to Digital Realty Trust, Inc. Unless otherwise indicated or unless the context requires otherwise, all references to the “Parent” refer to Digital Realty Trust, Inc., and all references to “our Operating Partnership,” “the Operating Partnership” or “the OP” refer to Digital Realty Trust, L.P. together with its consolidated subsidiaries.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Parent is a REIT for U.S. federal income tax purposes and the sole general partner of the OP. As of</w:t>
      </w:r>
    </w:p>
    <w:p>
      <w:pPr>
        <w:spacing w:after="0" w:line="27"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September 30, 2026, the Parent owned an approximate 98.3% common general partnership interest in Digital Realty Trust, L.P. The remaining approximate 1.7% of the common limited partnership interests of Digital Realty Trust, L.P. are owned by non-affiliated third parties and certain directors and officers of the Parent. As of September 30, 2026, the Parent owned all of the preferred limited partnership interests of Digital Realty Trust, L.P. As the sole general partner of Digital Realty Trust, L.P., the Parent has the full, exclusive and complete responsibility for the OP’s day-to-day management and control.</w:t>
      </w:r>
    </w:p>
    <w:p>
      <w:pPr>
        <w:spacing w:after="0" w:line="14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We believe combining the quarterly reports on Form 10-Q of the Parent and the OP into this single report results in the following benefits:</w:t>
      </w:r>
    </w:p>
    <w:p>
      <w:pPr>
        <w:spacing w:after="0" w:line="135" w:lineRule="exact"/>
        <w:rPr>
          <w:sz w:val="20"/>
          <w:szCs w:val="20"/>
          <w:color w:val="auto"/>
        </w:rPr>
      </w:pPr>
    </w:p>
    <w:p>
      <w:pPr>
        <w:ind w:left="720" w:right="5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investors’ understanding of the Parent and the OP by enabling investors to view the business as a whole in the same manner as management views and operates the business;</w:t>
      </w:r>
    </w:p>
    <w:p>
      <w:pPr>
        <w:spacing w:after="0" w:line="53"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duplicative disclosure and providing a more streamlined and readable presentation since a substantial portion of the disclosure applies to both the Parent and the OP;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time and cost efficiencies through the preparation of one combined report instead of two separate reports.</w:t>
      </w:r>
    </w:p>
    <w:p>
      <w:pPr>
        <w:spacing w:after="0" w:line="11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spacing w:after="0" w:line="165"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spacing w:after="0" w:line="15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spacing w:after="0" w:line="15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condensed consolidated financial statements. The separate discussions of the Parent and the OP in this report should be read in conjunction with each other to understand the results of the Company on a consolidated basis and how management operates the Company.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$4.2 billion equivalent senior unsecured revolving credit facility and global senior credit agreement; “Yen Revolving Credit Facility” refers to our Operating Partnership’s ¥42,511,000,000 (approximately $270 million based on exchange rates at September 30, 2026) senior unsecured revolving credit facility and Yen credit agreement; and “Global Revolving Credit Facilities” refer to our Global Revolving Credit Facility and our Yen Revolving Credit Facility, collectively.</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this report, the “Euro Term Loan Agreement” refers to a term loan agreement which governs a €375,000,000 five-year senior unsecured term loan facility (the “Euro Term Loan Facility”), comprised of €125,000,000 of initial term loans, the entire amount of which was funded on such date, and €250,000,000 of delayed draw term loan commitments that were funded on September 9, 2023.</w:t>
      </w:r>
    </w:p>
    <w:p>
      <w:pPr>
        <w:spacing w:after="0" w:line="180"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In this report, Digital Core REIT (“DCREIT”) is a standalone real estate investment trust formed under Singapore law, which is publicly traded on the Singapore Exchange under the ticker symbol “DCRU”.</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19"/>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DIGITAL REALTY TRUST, INC. AND DIGITAL REALTY TRUST, L.P.</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20" w:type="dxa"/>
            <w:vAlign w:val="bottom"/>
            <w:gridSpan w:val="12"/>
          </w:tcPr>
          <w:p>
            <w:pPr>
              <w:jc w:val="center"/>
              <w:ind w:right="2980"/>
              <w:spacing w:after="0"/>
              <w:rPr>
                <w:sz w:val="20"/>
                <w:szCs w:val="20"/>
                <w:color w:val="auto"/>
              </w:rPr>
            </w:pPr>
            <w:r>
              <w:rPr>
                <w:rFonts w:ascii="Times New Roman" w:cs="Times New Roman" w:eastAsia="Times New Roman" w:hAnsi="Times New Roman"/>
                <w:sz w:val="16"/>
                <w:szCs w:val="16"/>
                <w:b w:val="1"/>
                <w:bCs w:val="1"/>
                <w:color w:val="auto"/>
              </w:rPr>
              <w:t>FORM 10-Q</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80" w:type="dxa"/>
            <w:vAlign w:val="bottom"/>
            <w:gridSpan w:val="18"/>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FOR THE QUARTER ENDED SEPTEMBER 30, 2026</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60" w:type="dxa"/>
            <w:vAlign w:val="bottom"/>
            <w:gridSpan w:val="13"/>
          </w:tcPr>
          <w:p>
            <w:pPr>
              <w:jc w:val="center"/>
              <w:ind w:right="24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1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0"/>
        </w:trPr>
        <w:tc>
          <w:tcPr>
            <w:tcW w:w="900" w:type="dxa"/>
            <w:vAlign w:val="bottom"/>
            <w:gridSpan w:val="4"/>
            <w:vMerge w:val="continue"/>
          </w:tcPr>
          <w:p>
            <w:pPr>
              <w:spacing w:after="0"/>
              <w:rPr>
                <w:sz w:val="18"/>
                <w:szCs w:val="18"/>
                <w:color w:val="auto"/>
              </w:rPr>
            </w:pPr>
          </w:p>
        </w:tc>
        <w:tc>
          <w:tcPr>
            <w:tcW w:w="7100" w:type="dxa"/>
            <w:vAlign w:val="bottom"/>
            <w:gridSpan w:val="23"/>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of Digital Realty Trust,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2026 (unaudited) and December 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Income Statements for the three and nine months ended September 30,</w:t>
            </w:r>
          </w:p>
        </w:tc>
        <w:tc>
          <w:tcPr>
            <w:tcW w:w="16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140" w:type="dxa"/>
            <w:vAlign w:val="bottom"/>
            <w:gridSpan w:val="1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nine</w:t>
            </w:r>
          </w:p>
        </w:tc>
        <w:tc>
          <w:tcPr>
            <w:tcW w:w="420" w:type="dxa"/>
            <w:vAlign w:val="bottom"/>
            <w:gridSpan w:val="7"/>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2026 and 2025 (unaudited)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140" w:type="dxa"/>
            <w:vAlign w:val="bottom"/>
            <w:gridSpan w:val="1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w:t>
            </w:r>
          </w:p>
        </w:tc>
        <w:tc>
          <w:tcPr>
            <w:tcW w:w="360" w:type="dxa"/>
            <w:vAlign w:val="bottom"/>
            <w:gridSpan w:val="5"/>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100" w:type="dxa"/>
            <w:vAlign w:val="bottom"/>
            <w:gridSpan w:val="15"/>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of Digital Realty Trust, L.P.:</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2026 (unaudited) and December 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Income Statements for the three and nine months ended September 30,</w:t>
            </w:r>
          </w:p>
        </w:tc>
        <w:tc>
          <w:tcPr>
            <w:tcW w:w="16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140" w:type="dxa"/>
            <w:vAlign w:val="bottom"/>
            <w:gridSpan w:val="1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nine</w:t>
            </w:r>
          </w:p>
        </w:tc>
        <w:tc>
          <w:tcPr>
            <w:tcW w:w="420" w:type="dxa"/>
            <w:vAlign w:val="bottom"/>
            <w:gridSpan w:val="7"/>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2026 and 2025 (unaudited)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 of Capital for the three and nine months ended September 30,</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080" w:type="dxa"/>
            <w:vAlign w:val="bottom"/>
            <w:tcBorders>
              <w:top w:val="single" w:sz="8" w:color="0000EE"/>
            </w:tcBorders>
            <w:gridSpan w:val="13"/>
          </w:tcPr>
          <w:p>
            <w:pPr>
              <w:spacing w:after="0"/>
              <w:rPr>
                <w:sz w:val="17"/>
                <w:szCs w:val="17"/>
                <w:color w:val="auto"/>
              </w:rPr>
            </w:pPr>
          </w:p>
        </w:tc>
        <w:tc>
          <w:tcPr>
            <w:tcW w:w="60" w:type="dxa"/>
            <w:vAlign w:val="bottom"/>
            <w:gridSpan w:val="3"/>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w:t>
            </w:r>
          </w:p>
        </w:tc>
        <w:tc>
          <w:tcPr>
            <w:tcW w:w="360" w:type="dxa"/>
            <w:vAlign w:val="bottom"/>
            <w:gridSpan w:val="5"/>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 (unaudited)</w:t>
            </w:r>
          </w:p>
        </w:tc>
        <w:tc>
          <w:tcPr>
            <w:tcW w:w="5100" w:type="dxa"/>
            <w:vAlign w:val="bottom"/>
            <w:gridSpan w:val="15"/>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Notes to Condensed Consolidated Financial Statements of Digital Realty Trust, Inc. and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Digital Realty Trust, L.P. (unaudited)</w:t>
            </w:r>
          </w:p>
        </w:tc>
        <w:tc>
          <w:tcPr>
            <w:tcW w:w="3840" w:type="dxa"/>
            <w:vAlign w:val="bottom"/>
            <w:tcBorders>
              <w:top w:val="single" w:sz="8" w:color="0000EE"/>
            </w:tcBorders>
            <w:gridSpan w:val="6"/>
          </w:tcPr>
          <w:p>
            <w:pPr>
              <w:spacing w:after="0"/>
              <w:rPr>
                <w:sz w:val="17"/>
                <w:szCs w:val="17"/>
                <w:color w:val="auto"/>
              </w:rPr>
            </w:pPr>
          </w:p>
        </w:tc>
        <w:tc>
          <w:tcPr>
            <w:tcW w:w="380" w:type="dxa"/>
            <w:vAlign w:val="bottom"/>
            <w:gridSpan w:val="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6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740" w:type="dxa"/>
            <w:vAlign w:val="bottom"/>
            <w:tcBorders>
              <w:left w:val="single" w:sz="8" w:color="0000EE"/>
            </w:tcBorders>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 (Digital Realty Trust,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 (Digital Realty Trust, L.P.)</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6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37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360" w:type="dxa"/>
            <w:vAlign w:val="bottom"/>
            <w:gridSpan w:val="11"/>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63"/>
        </w:trPr>
        <w:tc>
          <w:tcPr>
            <w:tcW w:w="7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0" w:type="dxa"/>
            <w:vAlign w:val="bottom"/>
            <w:gridSpan w:val="2"/>
          </w:tcPr>
          <w:p>
            <w:pPr>
              <w:spacing w:after="0"/>
              <w:rPr>
                <w:sz w:val="22"/>
                <w:szCs w:val="22"/>
                <w:color w:val="auto"/>
              </w:rPr>
            </w:pPr>
          </w:p>
        </w:tc>
        <w:tc>
          <w:tcPr>
            <w:tcW w:w="20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080" w:type="dxa"/>
            <w:vAlign w:val="bottom"/>
            <w:gridSpan w:val="14"/>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100" w:type="dxa"/>
            <w:vAlign w:val="bottom"/>
          </w:tcPr>
          <w:p>
            <w:pPr>
              <w:spacing w:after="0"/>
              <w:rPr>
                <w:sz w:val="22"/>
                <w:szCs w:val="22"/>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6180" w:type="dxa"/>
            <w:vAlign w:val="bottom"/>
            <w:gridSpan w:val="19"/>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6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76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4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60" w:type="dxa"/>
            <w:vAlign w:val="bottom"/>
          </w:tcPr>
          <w:p>
            <w:pPr>
              <w:ind w:left="52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real estate: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properties,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34,653,057</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26,433,617</w:t>
            </w:r>
          </w:p>
        </w:tc>
      </w:tr>
      <w:tr>
        <w:trPr>
          <w:trHeight w:val="20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3,805,462</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3,427,903</w:t>
            </w:r>
          </w:p>
        </w:tc>
      </w:tr>
      <w:tr>
        <w:trPr>
          <w:trHeight w:val="19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investments in real estate</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38,458,519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29,861,520</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1,071,340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1,135,645</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802,903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3,451,647</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and other receivables,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1,809,964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1,358,895</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rent, net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832,808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750,907</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10,050,563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9,711,953</w:t>
            </w: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Customer relationship value, deferred leasing costs and other intangibles,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2,714,699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2,134,698</w:t>
            </w: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 held for sale and contribution</w:t>
            </w:r>
          </w:p>
        </w:tc>
        <w:tc>
          <w:tcPr>
            <w:tcW w:w="18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349,826</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783,719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655,377</w:t>
            </w:r>
          </w:p>
        </w:tc>
      </w:tr>
      <w:tr>
        <w:trPr>
          <w:trHeight w:val="23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56,524,515</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49,410,468</w:t>
            </w:r>
          </w:p>
        </w:tc>
      </w:tr>
      <w:tr>
        <w:trPr>
          <w:trHeight w:val="183"/>
        </w:trPr>
        <w:tc>
          <w:tcPr>
            <w:tcW w:w="54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revolving credit facilities,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1,640,466</w:t>
            </w:r>
          </w:p>
        </w:tc>
        <w:tc>
          <w:tcPr>
            <w:tcW w:w="40" w:type="dxa"/>
            <w:vAlign w:val="bottom"/>
          </w:tcPr>
          <w:p>
            <w:pPr>
              <w:spacing w:after="0"/>
              <w:rPr>
                <w:sz w:val="17"/>
                <w:szCs w:val="17"/>
                <w:color w:val="auto"/>
              </w:rPr>
            </w:pP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899,090</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term loans, net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424,364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439,536</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15,809,482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16,194,441</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Secured and other debt, net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1,620,303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869,068</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1,192,434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1,253,217</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3,609,832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2,600,979</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1,100,877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1,124,724</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dividends and distributions</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428,337</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deposits and prepaid rents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886,252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754,920</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Obligations associated with assets held for sale and contribution</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26,284,010</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24,564,494</w:t>
            </w:r>
          </w:p>
        </w:tc>
      </w:tr>
      <w:tr>
        <w:trPr>
          <w:trHeight w:val="196"/>
        </w:trPr>
        <w:tc>
          <w:tcPr>
            <w:tcW w:w="5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1,596,431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1,498,975</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1"/>
        </w:trPr>
        <w:tc>
          <w:tcPr>
            <w:tcW w:w="546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$0.01 par value per share, 110,000 shares authorized;</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$755,000 liquidation preference ($25.00 per share), 30,200 shares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issued and outstanding as of September 30, 2026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2025</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731,690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731,690</w:t>
            </w:r>
          </w:p>
        </w:tc>
      </w:tr>
      <w:tr>
        <w:trPr>
          <w:trHeight w:val="182"/>
        </w:trPr>
        <w:tc>
          <w:tcPr>
            <w:tcW w:w="546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7"/>
                <w:szCs w:val="17"/>
                <w:color w:val="auto"/>
              </w:rPr>
              <w:t>Common Stock: $0.01 par value per share, 502,000 shares authorized;</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374,888 and 343,557 issued and outstanding as of September 30, 2026</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and December 31, 2025, respectively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w:t>
            </w:r>
          </w:p>
        </w:tc>
      </w:tr>
      <w:tr>
        <w:trPr>
          <w:trHeight w:val="20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35,077,627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29,350,487</w:t>
            </w:r>
          </w:p>
        </w:tc>
      </w:tr>
      <w:tr>
        <w:trPr>
          <w:trHeight w:val="20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dividends in excess of earnings</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(7,212,298)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(6,690,722)</w:t>
            </w:r>
          </w:p>
        </w:tc>
      </w:tr>
      <w:tr>
        <w:trPr>
          <w:trHeight w:val="20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w:t>
            </w:r>
          </w:p>
        </w:tc>
        <w:tc>
          <w:tcPr>
            <w:tcW w:w="18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(488,408)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(469,198)</w:t>
            </w:r>
          </w:p>
        </w:tc>
      </w:tr>
      <w:tr>
        <w:trPr>
          <w:trHeight w:val="196"/>
        </w:trPr>
        <w:tc>
          <w:tcPr>
            <w:tcW w:w="54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28,112,327</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22,925,663</w:t>
            </w:r>
          </w:p>
        </w:tc>
      </w:tr>
      <w:tr>
        <w:trPr>
          <w:trHeight w:val="20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531,747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421,336</w:t>
            </w:r>
          </w:p>
        </w:tc>
      </w:tr>
      <w:tr>
        <w:trPr>
          <w:trHeight w:val="19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28,644,074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23,346,999</w:t>
            </w: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56,524,515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49,410,468</w:t>
            </w: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18"/>
                <w:szCs w:val="18"/>
                <w:color w:val="auto"/>
              </w:rPr>
            </w:pP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and other services</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1,827,109</w:t>
            </w:r>
          </w:p>
        </w:tc>
        <w:tc>
          <w:tcPr>
            <w:tcW w:w="40" w:type="dxa"/>
            <w:vAlign w:val="bottom"/>
          </w:tcPr>
          <w:p>
            <w:pPr>
              <w:spacing w:after="0"/>
              <w:rPr>
                <w:sz w:val="17"/>
                <w:szCs w:val="17"/>
                <w:color w:val="auto"/>
              </w:rPr>
            </w:pP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1,536,090</w:t>
            </w:r>
          </w:p>
        </w:tc>
        <w:tc>
          <w:tcPr>
            <w:tcW w:w="40" w:type="dxa"/>
            <w:vAlign w:val="bottom"/>
          </w:tcPr>
          <w:p>
            <w:pPr>
              <w:spacing w:after="0"/>
              <w:rPr>
                <w:sz w:val="17"/>
                <w:szCs w:val="17"/>
                <w:color w:val="auto"/>
              </w:rPr>
            </w:pP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5,101,969</w:t>
            </w:r>
          </w:p>
        </w:tc>
        <w:tc>
          <w:tcPr>
            <w:tcW w:w="40" w:type="dxa"/>
            <w:vAlign w:val="bottom"/>
          </w:tcPr>
          <w:p>
            <w:pPr>
              <w:spacing w:after="0"/>
              <w:rPr>
                <w:sz w:val="17"/>
                <w:szCs w:val="17"/>
                <w:color w:val="auto"/>
              </w:rPr>
            </w:pP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4,380,311</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 income and other</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97,710</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1,902,418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1,577,234</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5,461,631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4,478,021</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property operating and maintenance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781,730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653,919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2,108,092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1,812,916</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taxes and insurance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184,729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164,186</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539,471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1,546,088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1,401,178</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173,287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141,705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485,745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401,262</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Transactions and integration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103,349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149,007</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1,608,690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1,438,813</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4,441,713</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3,932,153</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Operating income before gain on disposition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properties,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293,728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545,868</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disposition of properties, net</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952,721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income</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302,131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158,201</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1,037,182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1,498,589</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 of unconsolidated entities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(18,433)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(16,944)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(20,230)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(36,646)</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118,255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(93,273)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(113,584)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(323,600)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(321,431)</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Loss on debt extinguishment and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modifications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(8,751)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(11,695)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(58,434)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(41,713)</w:t>
            </w: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193,611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826,022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1,217,054</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loss (income) attributable to</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0" w:type="dxa"/>
            <w:vAlign w:val="bottom"/>
          </w:tcPr>
          <w:p>
            <w:pPr>
              <w:spacing w:after="0"/>
              <w:rPr>
                <w:sz w:val="1"/>
                <w:szCs w:val="1"/>
                <w:color w:val="auto"/>
              </w:rPr>
            </w:pPr>
          </w:p>
        </w:tc>
      </w:tr>
      <w:tr>
        <w:trPr>
          <w:trHeight w:val="161"/>
        </w:trPr>
        <w:tc>
          <w:tcPr>
            <w:tcW w:w="324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Net income attributable to Digital Realty</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Trust, Inc.</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1,209,942</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(10,181)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(10,181)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(30,543)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(30,543)</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1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185,165</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57,631</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797,366</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1,179,399</w:t>
            </w:r>
          </w:p>
        </w:tc>
        <w:tc>
          <w:tcPr>
            <w:tcW w:w="0" w:type="dxa"/>
            <w:vAlign w:val="bottom"/>
          </w:tcPr>
          <w:p>
            <w:pPr>
              <w:spacing w:after="0"/>
              <w:rPr>
                <w:sz w:val="1"/>
                <w:szCs w:val="1"/>
                <w:color w:val="auto"/>
              </w:rPr>
            </w:pPr>
          </w:p>
        </w:tc>
      </w:tr>
      <w:tr>
        <w:trPr>
          <w:trHeight w:val="134"/>
        </w:trPr>
        <w:tc>
          <w:tcPr>
            <w:tcW w:w="32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income per share available to common</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40" w:type="dxa"/>
            <w:vAlign w:val="bottom"/>
          </w:tcPr>
          <w:p>
            <w:pPr>
              <w:spacing w:after="0"/>
              <w:rPr>
                <w:sz w:val="17"/>
                <w:szCs w:val="17"/>
                <w:color w:val="auto"/>
              </w:rPr>
            </w:pP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40" w:type="dxa"/>
            <w:vAlign w:val="bottom"/>
          </w:tcPr>
          <w:p>
            <w:pPr>
              <w:spacing w:after="0"/>
              <w:rPr>
                <w:sz w:val="17"/>
                <w:szCs w:val="17"/>
                <w:color w:val="auto"/>
              </w:rPr>
            </w:pP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40" w:type="dxa"/>
            <w:vAlign w:val="bottom"/>
          </w:tcPr>
          <w:p>
            <w:pPr>
              <w:spacing w:after="0"/>
              <w:rPr>
                <w:sz w:val="17"/>
                <w:szCs w:val="17"/>
                <w:color w:val="auto"/>
              </w:rPr>
            </w:pP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line="174" w:lineRule="exact"/>
              <w:rPr>
                <w:sz w:val="20"/>
                <w:szCs w:val="20"/>
                <w:color w:val="auto"/>
              </w:rPr>
            </w:pPr>
            <w:r>
              <w:rPr>
                <w:rFonts w:ascii="Times New Roman" w:cs="Times New Roman" w:eastAsia="Times New Roman" w:hAnsi="Times New Roman"/>
                <w:sz w:val="17"/>
                <w:szCs w:val="17"/>
                <w:color w:val="auto"/>
              </w:rPr>
              <w:t>Weighted average common shares</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372,193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357,208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338,565</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379,799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364,903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346,631</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480" w:type="dxa"/>
            <w:vAlign w:val="bottom"/>
            <w:gridSpan w:val="2"/>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gridSpan w:val="2"/>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193,611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63,713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826,022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1,217,054</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770,762</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fair value of derivatives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to interest expense from</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30,779</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47,381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787,021</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224,390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820,478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2,004,075</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(145,741)</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Digital</w:t>
            </w: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228,962</w:t>
            </w:r>
          </w:p>
        </w:tc>
        <w:tc>
          <w:tcPr>
            <w:tcW w:w="440" w:type="dxa"/>
            <w:vAlign w:val="bottom"/>
            <w:gridSpan w:val="2"/>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77,677</w:t>
            </w: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808,699</w:t>
            </w:r>
          </w:p>
        </w:tc>
        <w:tc>
          <w:tcPr>
            <w:tcW w:w="40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1,858,334</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Realty Trust, Inc.</w:t>
            </w:r>
          </w:p>
        </w:tc>
        <w:tc>
          <w:tcPr>
            <w:tcW w:w="480" w:type="dxa"/>
            <w:vAlign w:val="bottom"/>
            <w:gridSpan w:val="2"/>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20" w:type="dxa"/>
            <w:vAlign w:val="bottom"/>
            <w:tcBorders>
              <w:right w:val="single" w:sz="8" w:color="CCEEFF"/>
            </w:tcBorders>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Dividends 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Excess of</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2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1,567,282</w:t>
            </w:r>
          </w:p>
        </w:tc>
        <w:tc>
          <w:tcPr>
            <w:tcW w:w="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370,010,105</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3,669</w:t>
            </w: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$ 34,160,611</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(6,939,476)</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(522,024)</w:t>
            </w:r>
          </w:p>
        </w:tc>
        <w:tc>
          <w:tcPr>
            <w:tcW w:w="2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544,684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$27,979,154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common units 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 compensation</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150,830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Issuance of common stock, net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2,389,250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457,240</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457,264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in</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 Columbia</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Acquisition</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2,320,200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452,996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vested share-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based awards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6,610</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(6,610)</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declared on preferred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(10,181)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and distributions on</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and common and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(457,987)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Contributions from (distributions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 noncontrolling interests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Purchase of noncontrolling</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195,346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2,938</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198,284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33,616</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1,596,431</w:t>
            </w:r>
          </w:p>
        </w:tc>
        <w:tc>
          <w:tcPr>
            <w:tcW w:w="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374,887,535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3,716</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35,077,627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(7,212,298)</w:t>
            </w:r>
          </w:p>
        </w:tc>
        <w:tc>
          <w:tcPr>
            <w:tcW w:w="60" w:type="dxa"/>
            <w:vAlign w:val="bottom"/>
          </w:tcPr>
          <w:p>
            <w:pPr>
              <w:spacing w:after="0"/>
              <w:rPr>
                <w:sz w:val="8"/>
                <w:szCs w:val="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(488,408)</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531,747</w:t>
            </w:r>
          </w:p>
        </w:tc>
        <w:tc>
          <w:tcPr>
            <w:tcW w:w="1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5"/>
              </w:rPr>
              <w:t>$</w:t>
            </w:r>
            <w:r>
              <w:rPr>
                <w:rFonts w:ascii="Times New Roman" w:cs="Times New Roman" w:eastAsia="Times New Roman" w:hAnsi="Times New Roman"/>
                <w:sz w:val="13"/>
                <w:szCs w:val="13"/>
                <w:b w:val="1"/>
                <w:bCs w:val="1"/>
                <w:color w:val="auto"/>
                <w:w w:val="95"/>
              </w:rPr>
              <w:t>28,644,074</w:t>
            </w:r>
          </w:p>
        </w:tc>
        <w:tc>
          <w:tcPr>
            <w:tcW w:w="0" w:type="dxa"/>
            <w:vAlign w:val="bottom"/>
          </w:tcPr>
          <w:p>
            <w:pPr>
              <w:spacing w:after="0"/>
              <w:rPr>
                <w:sz w:val="1"/>
                <w:szCs w:val="1"/>
                <w:color w:val="auto"/>
              </w:rPr>
            </w:pPr>
          </w:p>
        </w:tc>
      </w:tr>
      <w:tr>
        <w:trPr>
          <w:trHeight w:val="142"/>
        </w:trPr>
        <w:tc>
          <w:tcPr>
            <w:tcW w:w="17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2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3"/>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Dividends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4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Excess of</w:t>
            </w:r>
          </w:p>
        </w:tc>
        <w:tc>
          <w:tcPr>
            <w:tcW w:w="940" w:type="dxa"/>
            <w:vAlign w:val="bottom"/>
            <w:gridSpan w:val="3"/>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2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1,498,975</w:t>
            </w:r>
          </w:p>
        </w:tc>
        <w:tc>
          <w:tcPr>
            <w:tcW w:w="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343,557,430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$29,350,487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(6,690,722)</w:t>
            </w:r>
          </w:p>
        </w:tc>
        <w:tc>
          <w:tcPr>
            <w:tcW w:w="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(469,198)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421,336</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$23,346,999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common units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495,991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28,666</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 compensation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348,832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87,112</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15,854,833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2,952,784</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2,952,946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 acquisition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of Blackstone joint venture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12,310,249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2,345,964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2,346,087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 Columbia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Acquisition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2,320,200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452,996</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units issued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 Astra</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103,981</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Reclassification of vested share-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based 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(38,701)</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Dividends declared on preferred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(30,543)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(30,543)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and distributions 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8"/>
              </w:rPr>
              <w:t>common stock and common 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(1,318,942)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(23,782)</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(1,342,724)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6"/>
              </w:rPr>
              <w:t>Contributions from (distributions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 noncontrolling 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Purchase of noncontrolling</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827,909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15,135</w:t>
            </w: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843,044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(19,210)</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1,596,431</w:t>
            </w:r>
          </w:p>
        </w:tc>
        <w:tc>
          <w:tcPr>
            <w:tcW w:w="20" w:type="dxa"/>
            <w:vAlign w:val="bottom"/>
          </w:tcPr>
          <w:p>
            <w:pPr>
              <w:spacing w:after="0"/>
              <w:rPr>
                <w:sz w:val="8"/>
                <w:szCs w:val="8"/>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374,887,535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3,716</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35,077,627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(7,212,298)</w:t>
            </w:r>
          </w:p>
        </w:tc>
        <w:tc>
          <w:tcPr>
            <w:tcW w:w="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(488,408)</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531,747</w:t>
            </w:r>
          </w:p>
        </w:tc>
        <w:tc>
          <w:tcPr>
            <w:tcW w:w="40" w:type="dxa"/>
            <w:vAlign w:val="bottom"/>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28,644,074</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2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Dividends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4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Excess of</w:t>
            </w:r>
          </w:p>
        </w:tc>
        <w:tc>
          <w:tcPr>
            <w:tcW w:w="940" w:type="dxa"/>
            <w:vAlign w:val="bottom"/>
            <w:gridSpan w:val="3"/>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1,505,889</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340,372,076</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3,374</w:t>
            </w: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$28,720,826</w:t>
            </w:r>
          </w:p>
        </w:tc>
        <w:tc>
          <w:tcPr>
            <w:tcW w:w="8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(5,997,607)</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(543,756)</w:t>
            </w: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441,430</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$23,355,957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common units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69,038</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5,935</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(5,935)</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 compensation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131,957</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31,877</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2,468,090</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424,002</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424,027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Reclassification of vested share-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based awards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Dividends declared on preferred</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and distributions 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9"/>
              </w:rPr>
              <w:t>common stock and common and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incentive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(418,525)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6"/>
              </w:rPr>
              <w:t>Contributions from (distributions</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 noncontrolling 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1,981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Deconsolidation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67,812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1,741</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36,339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1,177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vMerge w:val="continue"/>
            <w:shd w:val="clear" w:color="auto" w:fill="CCEEFF"/>
          </w:tcPr>
          <w:p>
            <w:pPr>
              <w:spacing w:after="0"/>
              <w:rPr>
                <w:sz w:val="8"/>
                <w:szCs w:val="8"/>
                <w:color w:val="auto"/>
              </w:rPr>
            </w:pP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1,535,972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343,041,161</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29,182,332</w:t>
            </w:r>
          </w:p>
        </w:tc>
        <w:tc>
          <w:tcPr>
            <w:tcW w:w="8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(6,358,501)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(533,891)</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428,220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23,453,250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60" w:type="dxa"/>
            <w:vAlign w:val="bottom"/>
            <w:tcBorders>
              <w:right w:val="single" w:sz="8" w:color="CCEEFF"/>
            </w:tcBorders>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Dividends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4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Excess of</w:t>
            </w:r>
          </w:p>
        </w:tc>
        <w:tc>
          <w:tcPr>
            <w:tcW w:w="940" w:type="dxa"/>
            <w:vAlign w:val="bottom"/>
            <w:gridSpan w:val="3"/>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1,433,185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336,636,742</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$28,079,738</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(6,292,085)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(1,182,283)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402,198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$21,742,595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common units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160,028</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 compensation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288,904</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81,275</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5,955,487</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1,029,165</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1,029,190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Reclassification of vested share-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based awards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22,233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Dividends declared on preferred</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and distributions 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9"/>
              </w:rPr>
              <w:t>common stock and common and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incentive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(1,245,815)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(1,268,511)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6"/>
              </w:rPr>
              <w:t>Contributions from (distributions</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 noncontrolling 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Deconsolidation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1,209,942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24,632</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1,234,574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648,392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16,872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vMerge w:val="continue"/>
            <w:shd w:val="clear" w:color="auto" w:fill="CCEEFF"/>
          </w:tcPr>
          <w:p>
            <w:pPr>
              <w:spacing w:after="0"/>
              <w:rPr>
                <w:sz w:val="8"/>
                <w:szCs w:val="8"/>
                <w:color w:val="auto"/>
              </w:rPr>
            </w:pP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1,535,972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731,690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343,041,161</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29,182,332</w:t>
            </w:r>
          </w:p>
        </w:tc>
        <w:tc>
          <w:tcPr>
            <w:tcW w:w="8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(6,358,501)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(533,891)</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428,220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23,453,250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60" w:type="dxa"/>
            <w:vAlign w:val="bottom"/>
            <w:tcBorders>
              <w:right w:val="single" w:sz="8" w:color="CCEEFF"/>
            </w:tcBorders>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580" w:type="dxa"/>
            <w:vAlign w:val="bottom"/>
            <w:vMerge w:val="restart"/>
          </w:tcPr>
          <w:p>
            <w:pPr>
              <w:ind w:left="54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826,022</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1,217,054</w:t>
            </w:r>
          </w:p>
        </w:tc>
        <w:tc>
          <w:tcPr>
            <w:tcW w:w="0" w:type="dxa"/>
            <w:vAlign w:val="bottom"/>
          </w:tcPr>
          <w:p>
            <w:pPr>
              <w:spacing w:after="0"/>
              <w:rPr>
                <w:sz w:val="1"/>
                <w:szCs w:val="1"/>
                <w:color w:val="auto"/>
              </w:rPr>
            </w:pPr>
          </w:p>
        </w:tc>
      </w:tr>
      <w:tr>
        <w:trPr>
          <w:trHeight w:val="177"/>
        </w:trPr>
        <w:tc>
          <w:tcPr>
            <w:tcW w:w="5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Adjustments to reconcile net income to net cash provided by operating</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disposition of properties,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(952,721)</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 of unconsolidated entities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36,646</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from unconsolidated entities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1,546,088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1,401,178</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share-based compensation</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83,034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69,760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 and modifications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Straight-lined rents and amortization of above and below market leases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(88,344)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(77,614)</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 / premium</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22,918</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(71,572)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Changes in assets and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accounts receivable and other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(669,679)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(221,448)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accounts payable and 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210,431</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114,577</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1,977,486</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1,693,183</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Improvements to investments in real estate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(3,166,212)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(2,179,018)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business combination / asset acquisitions, net of cash acquired</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(2,943,950)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(288,013)</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and advances to unconsolidated entities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(745,350)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(326,351)</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of investment from unconsolidated entities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153,238</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 contribution of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1,159,712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21,156</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9,034</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(6,601,947)</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(1,471,398)</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credit facilities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1,513,113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1,411,930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on credit facilities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(740,394)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(1,958,565)</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Borrowings on secured / unsecured debt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68,860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1,876,331</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on secured / unsecured debt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(1,249,865)</w:t>
            </w:r>
          </w:p>
        </w:tc>
        <w:tc>
          <w:tcPr>
            <w:tcW w:w="0" w:type="dxa"/>
            <w:vAlign w:val="bottom"/>
          </w:tcPr>
          <w:p>
            <w:pPr>
              <w:spacing w:after="0"/>
              <w:rPr>
                <w:sz w:val="1"/>
                <w:szCs w:val="1"/>
                <w:color w:val="auto"/>
              </w:rPr>
            </w:pPr>
          </w:p>
        </w:tc>
      </w:tr>
      <w:tr>
        <w:trPr>
          <w:trHeight w:val="20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contributions from (distribution to) noncontrolling interests,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2,952,946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1,029,190</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dividends and distributions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(1,802,174)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(1,718,285)</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(24,406)</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1,943,394</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(638,670)</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(2,681,067)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(416,885)</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(153,793)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3,458,290</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3,876,700</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806,351</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3,306,022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60" w:type="dxa"/>
            <w:vAlign w:val="bottom"/>
          </w:tcPr>
          <w:p>
            <w:pPr>
              <w:ind w:left="52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6"/>
        </w:trPr>
        <w:tc>
          <w:tcPr>
            <w:tcW w:w="5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3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real estate:</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properties,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34,653,057</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26,433,617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3,805,462</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investments in real estate</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38,458,519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29,861,520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1,071,340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802,903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3,451,647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and other receivables, net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1,809,964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rent, net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832,808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10,050,563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9,711,953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Customer relationship value, deferred leasing costs and other intangibles,</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2,714,699</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 held for sale and contribution</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783,719</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56,524,515</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49,410,468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CAPITAL</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revolving credit facilities,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1,640,466</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term loans, net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424,364</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15,809,482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16,194,441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Secured and other debt, net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1,620,303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869,068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1,192,434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3,609,832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1,100,877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dividends and distributions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deposits and prepaid rents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886,252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Obligations associated with assets held for sale and contribution</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26,284,010</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24,564,494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1,596,431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1,498,975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54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Capital:</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Partners’ capital:</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546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units, $755,000 liquidation preference ($25.00 per unit),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30,200 units issued and outstanding as of September 30, 2026 and</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731,690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46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units, 374,888 and 343,557 issued and outstanding as of</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27,869,045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22,663,171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7"/>
                <w:szCs w:val="17"/>
                <w:color w:val="auto"/>
              </w:rPr>
              <w:t>Limited Partners, 6,649 and 6,189 units issued and outstanding as of</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538,472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(504,946)</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(485,342)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partners’ capital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28,634,261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23,341,119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 in consolidated entities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capital</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28,644,074</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23,346,999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capital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56,524,515</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49,410,468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60" w:type="dxa"/>
            <w:vAlign w:val="bottom"/>
          </w:tcPr>
          <w:p>
            <w:pPr>
              <w:spacing w:after="0"/>
              <w:rPr>
                <w:sz w:val="19"/>
                <w:szCs w:val="19"/>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and other services</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1,827,109</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1,536,090</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5,101,969</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 income and other</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41,144</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359,662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1,902,418</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1,577,234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5,461,631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4,478,021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property operating and maintenance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781,730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653,919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2,108,092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taxes and insurance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184,729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539,471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497,002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1,546,088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173,287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141,705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485,745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Transactions and integration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103,349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1,608,690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1,438,813</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4,441,713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Operating income before gain on disposition of</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properties,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disposition of properties, net</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302,131</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158,201</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1,037,182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1,498,589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 of unconsolidated entities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(113,584)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debt extinguishment and modifications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(58,434)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193,611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826,022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Net income attributable to Digital Realty Trust,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L.P.</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units distributions</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(10,181)</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(10,181)</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available to common unitholders</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189,165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59,631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814,366</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1,205,399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income per unit available to common</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unitholders: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4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4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378,331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347,301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363,268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385,937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355,165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480" w:type="dxa"/>
            <w:vAlign w:val="bottom"/>
            <w:gridSpan w:val="2"/>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fair value of derivatives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to interest expense from</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(107,030)</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Digital</w:t>
            </w: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233,609</w:t>
            </w:r>
          </w:p>
        </w:tc>
        <w:tc>
          <w:tcPr>
            <w:tcW w:w="48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79,867</w:t>
            </w:r>
          </w:p>
        </w:tc>
        <w:tc>
          <w:tcPr>
            <w:tcW w:w="8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825,305</w:t>
            </w:r>
          </w:p>
        </w:tc>
        <w:tc>
          <w:tcPr>
            <w:tcW w:w="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Realty Trust, L.P.</w:t>
            </w:r>
          </w:p>
        </w:tc>
        <w:tc>
          <w:tcPr>
            <w:tcW w:w="4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Limited Partners</w:t>
            </w:r>
          </w:p>
        </w:tc>
        <w:tc>
          <w:tcPr>
            <w:tcW w:w="12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Limited Partner</w:t>
            </w:r>
          </w:p>
        </w:tc>
        <w:tc>
          <w:tcPr>
            <w:tcW w:w="14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tcPr>
          <w:p>
            <w:pPr>
              <w:spacing w:after="0"/>
              <w:rPr>
                <w:sz w:val="11"/>
                <w:szCs w:val="11"/>
                <w:color w:val="auto"/>
              </w:rPr>
            </w:pPr>
          </w:p>
        </w:tc>
        <w:tc>
          <w:tcPr>
            <w:tcW w:w="1440" w:type="dxa"/>
            <w:vAlign w:val="bottom"/>
            <w:tcBorders>
              <w:bottom w:val="single" w:sz="8" w:color="auto"/>
            </w:tcBorders>
            <w:gridSpan w:val="3"/>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4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60" w:type="dxa"/>
            <w:vAlign w:val="bottom"/>
            <w:gridSpan w:val="3"/>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7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8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12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Total Capital</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June 30,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1,567,282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370,010,105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$27,224,804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6,664,902</w:t>
            </w:r>
          </w:p>
        </w:tc>
        <w:tc>
          <w:tcPr>
            <w:tcW w:w="780" w:type="dxa"/>
            <w:vAlign w:val="bottom"/>
            <w:tcBorders>
              <w:right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$ 550,807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(539,209)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11,062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$27,979,154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limited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partner common units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general partner 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7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units,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2,389,250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457,264</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457,264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units issued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Columbia Capital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2,320,200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vested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share-based 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6,610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(6,610)</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 units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(10,181)</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(457,987)</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(8,034)</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(476,202)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Contributions from</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 in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Purchase of noncontrolling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185,165</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3,920</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(982)</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198,284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(3,370)</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(114)</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1,596,431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374,887,535</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27,869,045</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6,648,370</w:t>
            </w:r>
          </w:p>
        </w:tc>
        <w:tc>
          <w:tcPr>
            <w:tcW w:w="780" w:type="dxa"/>
            <w:vAlign w:val="bottom"/>
            <w:tcBorders>
              <w:right w:val="single" w:sz="8" w:color="CCEEFF"/>
            </w:tcBorders>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$ 538,472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(504,946)</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right w:val="single" w:sz="8" w:color="CCEEFF"/>
            </w:tcBorders>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9,813</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5"/>
              </w:rPr>
              <w:t>$</w:t>
            </w:r>
            <w:r>
              <w:rPr>
                <w:rFonts w:ascii="Times New Roman" w:cs="Times New Roman" w:eastAsia="Times New Roman" w:hAnsi="Times New Roman"/>
                <w:sz w:val="13"/>
                <w:szCs w:val="13"/>
                <w:b w:val="1"/>
                <w:bCs w:val="1"/>
                <w:color w:val="auto"/>
                <w:w w:val="95"/>
              </w:rPr>
              <w:t>28,644,074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14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780" w:type="dxa"/>
            <w:vAlign w:val="bottom"/>
            <w:tcBorders>
              <w:right w:val="single" w:sz="8" w:color="CCEEFF"/>
            </w:tcBorders>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6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497205</wp:posOffset>
            </wp:positionV>
            <wp:extent cx="598360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CAPITAL</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Limited Partners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Limited Partner</w:t>
            </w:r>
          </w:p>
        </w:tc>
        <w:tc>
          <w:tcPr>
            <w:tcW w:w="14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tcPr>
          <w:p>
            <w:pPr>
              <w:spacing w:after="0"/>
              <w:rPr>
                <w:sz w:val="11"/>
                <w:szCs w:val="11"/>
                <w:color w:val="auto"/>
              </w:rPr>
            </w:pPr>
          </w:p>
        </w:tc>
        <w:tc>
          <w:tcPr>
            <w:tcW w:w="1440" w:type="dxa"/>
            <w:vAlign w:val="bottom"/>
            <w:tcBorders>
              <w:bottom w:val="single" w:sz="8" w:color="auto"/>
            </w:tcBorders>
            <w:gridSpan w:val="3"/>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40" w:type="dxa"/>
            <w:vAlign w:val="bottom"/>
          </w:tcPr>
          <w:p>
            <w:pPr>
              <w:spacing w:after="0"/>
              <w:rPr>
                <w:sz w:val="11"/>
                <w:szCs w:val="11"/>
                <w:color w:val="auto"/>
              </w:rPr>
            </w:pPr>
          </w:p>
        </w:tc>
        <w:tc>
          <w:tcPr>
            <w:tcW w:w="1260" w:type="dxa"/>
            <w:vAlign w:val="bottom"/>
            <w:tcBorders>
              <w:bottom w:val="single" w:sz="8" w:color="auto"/>
            </w:tcBorders>
            <w:gridSpan w:val="3"/>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76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Noncontrolling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7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8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120" w:type="dxa"/>
            <w:vAlign w:val="bottom"/>
          </w:tcPr>
          <w:p>
            <w:pPr>
              <w:spacing w:after="0"/>
              <w:rPr>
                <w:sz w:val="13"/>
                <w:szCs w:val="13"/>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Capital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720" w:type="dxa"/>
            <w:vAlign w:val="bottom"/>
            <w:tcBorders>
              <w:right w:val="single" w:sz="8" w:color="3F3F3F"/>
            </w:tcBorders>
            <w:shd w:val="clear" w:color="auto" w:fill="CCEEFF"/>
          </w:tcPr>
          <w:p>
            <w:pPr>
              <w:spacing w:after="0"/>
              <w:rPr>
                <w:sz w:val="9"/>
                <w:szCs w:val="9"/>
                <w:color w:val="auto"/>
              </w:rPr>
            </w:pPr>
          </w:p>
        </w:tc>
        <w:tc>
          <w:tcPr>
            <w:tcW w:w="20" w:type="dxa"/>
            <w:vAlign w:val="bottom"/>
            <w:shd w:val="clear" w:color="auto" w:fill="3F3F3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1,498,975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343,557,430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$22,663,171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6,188,861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$ 431,600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(485,342)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5,880</w:t>
            </w:r>
          </w:p>
        </w:tc>
        <w:tc>
          <w:tcPr>
            <w:tcW w:w="800" w:type="dxa"/>
            <w:vAlign w:val="bottom"/>
            <w:tcBorders>
              <w:left w:val="single" w:sz="8" w:color="CCEEFF"/>
              <w:right w:val="single" w:sz="8" w:color="3F3F3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$23,346,999</w:t>
            </w:r>
          </w:p>
        </w:tc>
        <w:tc>
          <w:tcPr>
            <w:tcW w:w="20" w:type="dxa"/>
            <w:vAlign w:val="bottom"/>
            <w:shd w:val="clear" w:color="auto" w:fill="3F3F3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limited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partner common units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general partner 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495,991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28,668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(495,991)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348,832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87,112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438,025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units,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15,854,833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2,952,946</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2,952,946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units issued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acquisition of Blackstone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joint venture interests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12,310,249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2,346,087</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2,346,087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units issued 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Columbia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2,320,200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units issued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connection with the Astra</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517,475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vested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share-based 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(38,701)</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Adjustment to redeemable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 units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(30,543)</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(1,318,942)</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(23,782)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(1,373,267)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Contributions from</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 in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8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Purchase of noncontrolling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(17,022)</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30,543</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797,366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16,640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(1,505)</w:t>
            </w:r>
          </w:p>
        </w:tc>
        <w:tc>
          <w:tcPr>
            <w:tcW w:w="800" w:type="dxa"/>
            <w:vAlign w:val="bottom"/>
            <w:tcBorders>
              <w:left w:val="single" w:sz="8" w:color="CCEEFF"/>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843,044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12,570</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3F3F3F"/>
            </w:tcBorders>
            <w:shd w:val="clear" w:color="auto" w:fill="000000"/>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1,596,431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374,887,535</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27,869,045</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6,648,370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$ 538,472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(504,946)</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9,813</w:t>
            </w:r>
          </w:p>
        </w:tc>
        <w:tc>
          <w:tcPr>
            <w:tcW w:w="800" w:type="dxa"/>
            <w:vAlign w:val="bottom"/>
            <w:tcBorders>
              <w:left w:val="single" w:sz="8" w:color="CCEEFF"/>
              <w:right w:val="single" w:sz="8" w:color="3F3F3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$28,644,074</w:t>
            </w:r>
          </w:p>
        </w:tc>
        <w:tc>
          <w:tcPr>
            <w:tcW w:w="20" w:type="dxa"/>
            <w:vAlign w:val="bottom"/>
            <w:shd w:val="clear" w:color="auto" w:fill="3F3F3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1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tcBorders>
              <w:left w:val="single" w:sz="8" w:color="CCEEFF"/>
              <w:right w:val="single" w:sz="8" w:color="3F3F3F"/>
            </w:tcBorders>
            <w:gridSpan w:val="2"/>
            <w:vMerge w:val="continue"/>
            <w:shd w:val="clear" w:color="auto" w:fill="CCEEFF"/>
          </w:tcPr>
          <w:p>
            <w:pPr>
              <w:spacing w:after="0"/>
              <w:rPr>
                <w:sz w:val="14"/>
                <w:szCs w:val="14"/>
                <w:color w:val="auto"/>
              </w:rPr>
            </w:pPr>
          </w:p>
        </w:tc>
        <w:tc>
          <w:tcPr>
            <w:tcW w:w="20" w:type="dxa"/>
            <w:vAlign w:val="bottom"/>
            <w:shd w:val="clear" w:color="auto" w:fill="3F3F3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right w:val="single" w:sz="8" w:color="3F3F3F"/>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60"/>
          </w:cols>
          <w:pgMar w:left="1220" w:top="513"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Limited Partners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Limited Partner</w:t>
            </w:r>
          </w:p>
        </w:tc>
        <w:tc>
          <w:tcPr>
            <w:tcW w:w="14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tcPr>
          <w:p>
            <w:pPr>
              <w:spacing w:after="0"/>
              <w:rPr>
                <w:sz w:val="11"/>
                <w:szCs w:val="11"/>
                <w:color w:val="auto"/>
              </w:rPr>
            </w:pPr>
          </w:p>
        </w:tc>
        <w:tc>
          <w:tcPr>
            <w:tcW w:w="1500" w:type="dxa"/>
            <w:vAlign w:val="bottom"/>
            <w:tcBorders>
              <w:bottom w:val="single" w:sz="8" w:color="auto"/>
            </w:tcBorders>
            <w:gridSpan w:val="3"/>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40" w:type="dxa"/>
            <w:vAlign w:val="bottom"/>
          </w:tcPr>
          <w:p>
            <w:pPr>
              <w:spacing w:after="0"/>
              <w:rPr>
                <w:sz w:val="11"/>
                <w:szCs w:val="11"/>
                <w:color w:val="auto"/>
              </w:rPr>
            </w:pPr>
          </w:p>
        </w:tc>
        <w:tc>
          <w:tcPr>
            <w:tcW w:w="1260" w:type="dxa"/>
            <w:vAlign w:val="bottom"/>
            <w:tcBorders>
              <w:bottom w:val="single" w:sz="8" w:color="auto"/>
            </w:tcBorders>
            <w:gridSpan w:val="3"/>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800" w:type="dxa"/>
            <w:vAlign w:val="bottom"/>
            <w:gridSpan w:val="7"/>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Comprehensive Noncontrolling</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7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7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1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Total Capital</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3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1,505,889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340,372,076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$22,726,593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6,271,925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$ 448,563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(561,319)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10,430</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$23,355,957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limited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partner common units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general partner 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69,038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(69,038)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131,957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7"/>
              </w:rPr>
              <w:t>Issuance of common units,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of 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2,468,090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424,027</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424,027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vested</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awards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Adjustment to redeemable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partnership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(418,525)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(7,479)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(436,185)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Contributions from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(distributions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Deconsolidation of</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(5,840)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10,181</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57,631</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1,970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36,339</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10,055</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1,535,972</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343,041,161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22,827,231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6,203,290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$ 437,653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(551,264)</w:t>
            </w:r>
          </w:p>
        </w:tc>
        <w:tc>
          <w:tcPr>
            <w:tcW w:w="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7,940</w:t>
            </w:r>
          </w:p>
        </w:tc>
        <w:tc>
          <w:tcPr>
            <w:tcW w:w="40" w:type="dxa"/>
            <w:vAlign w:val="bottom"/>
          </w:tcPr>
          <w:p>
            <w:pPr>
              <w:spacing w:after="0"/>
              <w:rPr>
                <w:sz w:val="8"/>
                <w:szCs w:val="8"/>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23,453,250</w:t>
            </w:r>
          </w:p>
        </w:tc>
        <w:tc>
          <w:tcPr>
            <w:tcW w:w="0" w:type="dxa"/>
            <w:vAlign w:val="bottom"/>
          </w:tcPr>
          <w:p>
            <w:pPr>
              <w:spacing w:after="0"/>
              <w:rPr>
                <w:sz w:val="1"/>
                <w:szCs w:val="1"/>
                <w:color w:val="auto"/>
              </w:rPr>
            </w:pPr>
          </w:p>
        </w:tc>
      </w:tr>
      <w:tr>
        <w:trPr>
          <w:trHeight w:val="142"/>
        </w:trPr>
        <w:tc>
          <w:tcPr>
            <w:tcW w:w="14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Limited Partners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Limited Partner</w:t>
            </w:r>
          </w:p>
        </w:tc>
        <w:tc>
          <w:tcPr>
            <w:tcW w:w="140" w:type="dxa"/>
            <w:vAlign w:val="bottom"/>
          </w:tcPr>
          <w:p>
            <w:pPr>
              <w:spacing w:after="0"/>
              <w:rPr>
                <w:sz w:val="11"/>
                <w:szCs w:val="11"/>
                <w:color w:val="auto"/>
              </w:rPr>
            </w:pPr>
          </w:p>
        </w:tc>
        <w:tc>
          <w:tcPr>
            <w:tcW w:w="1320" w:type="dxa"/>
            <w:vAlign w:val="bottom"/>
            <w:tcBorders>
              <w:bottom w:val="single" w:sz="8" w:color="auto"/>
            </w:tcBorders>
            <w:gridSpan w:val="3"/>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tcPr>
          <w:p>
            <w:pPr>
              <w:spacing w:after="0"/>
              <w:rPr>
                <w:sz w:val="11"/>
                <w:szCs w:val="11"/>
                <w:color w:val="auto"/>
              </w:rPr>
            </w:pPr>
          </w:p>
        </w:tc>
        <w:tc>
          <w:tcPr>
            <w:tcW w:w="1500" w:type="dxa"/>
            <w:vAlign w:val="bottom"/>
            <w:tcBorders>
              <w:bottom w:val="single" w:sz="8" w:color="auto"/>
            </w:tcBorders>
            <w:gridSpan w:val="3"/>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40" w:type="dxa"/>
            <w:vAlign w:val="bottom"/>
          </w:tcPr>
          <w:p>
            <w:pPr>
              <w:spacing w:after="0"/>
              <w:rPr>
                <w:sz w:val="11"/>
                <w:szCs w:val="11"/>
                <w:color w:val="auto"/>
              </w:rPr>
            </w:pPr>
          </w:p>
        </w:tc>
        <w:tc>
          <w:tcPr>
            <w:tcW w:w="1260" w:type="dxa"/>
            <w:vAlign w:val="bottom"/>
            <w:tcBorders>
              <w:bottom w:val="single" w:sz="8" w:color="auto"/>
            </w:tcBorders>
            <w:gridSpan w:val="3"/>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800" w:type="dxa"/>
            <w:vAlign w:val="bottom"/>
            <w:gridSpan w:val="7"/>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Comprehensive Noncontrolling</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7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7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Units</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1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Total Capital</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3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1,433,185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336,636,742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$21,790,990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6,134,812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$ 426,183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(1,212,367)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6,099</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$21,742,595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limited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partner common units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general partner 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(160,028)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Effect of equity</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6,077,109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1,110,503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228,506</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1,110,503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Vesting of restricted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units, net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167,282</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vested</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awards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Adjustment to redeemable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partnership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(30,543)</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(1,245,815)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(1,299,054)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Contributions from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(distributions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Deconsolidation of</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entities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30,543</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1,179,399</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25,440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(808)</w:t>
            </w:r>
          </w:p>
        </w:tc>
        <w:tc>
          <w:tcPr>
            <w:tcW w:w="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1,234,574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121,757</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661,103</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665,264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1,535,972</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30,200,000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$ 731,690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343,041,161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22,827,231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6,203,290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$ 437,653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(551,264)</w:t>
            </w:r>
          </w:p>
        </w:tc>
        <w:tc>
          <w:tcPr>
            <w:tcW w:w="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7,940</w:t>
            </w:r>
          </w:p>
        </w:tc>
        <w:tc>
          <w:tcPr>
            <w:tcW w:w="40" w:type="dxa"/>
            <w:vAlign w:val="bottom"/>
          </w:tcPr>
          <w:p>
            <w:pPr>
              <w:spacing w:after="0"/>
              <w:rPr>
                <w:sz w:val="8"/>
                <w:szCs w:val="8"/>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23,453,250</w:t>
            </w:r>
          </w:p>
        </w:tc>
        <w:tc>
          <w:tcPr>
            <w:tcW w:w="0" w:type="dxa"/>
            <w:vAlign w:val="bottom"/>
          </w:tcPr>
          <w:p>
            <w:pPr>
              <w:spacing w:after="0"/>
              <w:rPr>
                <w:sz w:val="1"/>
                <w:szCs w:val="1"/>
                <w:color w:val="auto"/>
              </w:rPr>
            </w:pPr>
          </w:p>
        </w:tc>
      </w:tr>
      <w:tr>
        <w:trPr>
          <w:trHeight w:val="142"/>
        </w:trPr>
        <w:tc>
          <w:tcPr>
            <w:tcW w:w="14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5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tcBorders>
            <w:gridSpan w:val="2"/>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826,022</w:t>
            </w:r>
          </w:p>
        </w:tc>
        <w:tc>
          <w:tcPr>
            <w:tcW w:w="60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Adjustments to reconcile net income to net cash provided by operating</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disposition of properties, net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 of unconsolidated entities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from unconsolidated entities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109,954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1,546,088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share-based compensation</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83,034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 and modifications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Straight-lined rents and amortization of above and below market leases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(88,344)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 / premium</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(71,572)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Changes in assets and liabilities: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accounts receivable and other assets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(669,679)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accounts payable and 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210,431</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1,977,486</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1,693,183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Improvements to investments in real estate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(3,166,212)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business combination / asset acquisitions, net of cash acquired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(2,943,950)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and advances to unconsolidated entities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(745,350)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of investment from unconsolidated entities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52,172</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 contribution of assets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180,237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1,159,712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21,156</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(6,601,947)</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credit facilities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1,513,113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1,411,930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on credit facilities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(740,394)</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(1,958,565)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Borrowings on secured / unsecured debt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68,860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1,876,331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on secured / unsecured debt</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contributions from (distribution to) noncontrolling interests, net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partner contributions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2,952,946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1,029,190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dividends and distributions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(1,802,174)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(1,718,285)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1,943,394</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(2,681,067)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3,458,290</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806,351</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3,306,022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Organization and Description of Business. </w:t>
      </w:r>
      <w:r>
        <w:rPr>
          <w:rFonts w:ascii="Times New Roman" w:cs="Times New Roman" w:eastAsia="Times New Roman" w:hAnsi="Times New Roman"/>
          <w:sz w:val="18"/>
          <w:szCs w:val="18"/>
          <w:color w:val="auto"/>
        </w:rPr>
        <w:t>Digital Realty Trust, Inc. (the Parent), through its controlling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Realty 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real estate investment trust (“REIT”) for U.S. federal income tax purposes.</w:t>
      </w:r>
    </w:p>
    <w:p>
      <w:pPr>
        <w:spacing w:after="0" w:line="18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spacing w:after="0" w:line="17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Principles and Basis of Presentation. </w:t>
      </w:r>
      <w:r>
        <w:rPr>
          <w:rFonts w:ascii="Times New Roman" w:cs="Times New Roman" w:eastAsia="Times New Roman" w:hAnsi="Times New Roman"/>
          <w:sz w:val="18"/>
          <w:szCs w:val="18"/>
          <w:color w:val="auto"/>
        </w:rPr>
        <w:t>The accompanying unaudited interim condensed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and accompanying notes (the “Financial Statements”) are prepared in accordance with United States generally accepted accounting principles (“U.S. GAAP”) and are presented in our reporting currency, the U.S. dollar. All of the accounts of the Parent, the OP, and the subsidiaries of the OP are included in the accompanying Financial Statements. All material intercompany transactions with consolidated entities have been eliminated. In the opinion of management, the unaudited interim consolidated financial statements reflect all adjustments of a normal recurring nature that are necessary for a fair statement of the results for the interim periods presented. Interim results are not always indicative of results for a full year. The information included in this Form 10-Q should be read in conjunction with our Annual Report on Form 10-K for the year ended December 31, 2025 (“2025 Form 10-K”), as filed with the U.S. Securities and Exchange Commission (“SEC”), our Quarterly Reports on Form 10-Q for the quarters ended March 31, 2026 and June 30, 2026, as filed with the SEC, and our other filings with the SEC.</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Management Estimates and Assumptions. </w:t>
      </w:r>
      <w:r>
        <w:rPr>
          <w:rFonts w:ascii="Times New Roman" w:cs="Times New Roman" w:eastAsia="Times New Roman" w:hAnsi="Times New Roman"/>
          <w:sz w:val="18"/>
          <w:szCs w:val="18"/>
          <w:color w:val="auto"/>
        </w:rPr>
        <w:t>U.S. GAAP requires us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w:t>
      </w:r>
    </w:p>
    <w:p>
      <w:pPr>
        <w:spacing w:after="0" w:line="18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color w:val="auto"/>
        </w:rPr>
        <w:t>Recently issued accounting pronouncements that have yet to be adopted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not expected to have a material impact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Investments in Properties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our Investments in properties, net is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00" w:type="dxa"/>
            <w:vAlign w:val="bottom"/>
          </w:tcPr>
          <w:p>
            <w:pPr>
              <w:spacing w:after="0"/>
              <w:rPr>
                <w:sz w:val="15"/>
                <w:szCs w:val="15"/>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40" w:type="dxa"/>
            <w:vAlign w:val="bottom"/>
          </w:tcPr>
          <w:p>
            <w:pPr>
              <w:spacing w:after="0"/>
              <w:rPr>
                <w:sz w:val="15"/>
                <w:szCs w:val="15"/>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0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1,343,430</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1,247,624</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ground lease</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32,055,762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29,152,994</w:t>
            </w:r>
          </w:p>
        </w:tc>
      </w:tr>
      <w:tr>
        <w:trPr>
          <w:trHeight w:val="21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1,000,441</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958,583</w:t>
            </w:r>
          </w:p>
        </w:tc>
      </w:tr>
      <w:tr>
        <w:trPr>
          <w:trHeight w:val="209"/>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34,399,727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31,359,298</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8"/>
                <w:szCs w:val="18"/>
                <w:color w:val="auto"/>
              </w:rPr>
            </w:pPr>
          </w:p>
        </w:tc>
        <w:tc>
          <w:tcPr>
            <w:tcW w:w="2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(11,150,810)</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(9,993,596)</w:t>
            </w:r>
          </w:p>
        </w:tc>
      </w:tr>
      <w:tr>
        <w:trPr>
          <w:trHeight w:val="210"/>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operating properties, net</w:t>
            </w: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23,248,917</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21,365,702</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 and space held for development</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10,634,707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4,976,785</w:t>
            </w: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held for future development</w:t>
            </w: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w:t>
            </w:r>
          </w:p>
        </w:tc>
      </w:tr>
      <w:tr>
        <w:trPr>
          <w:trHeight w:val="209"/>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Investments in properties,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34,653,057</w:t>
            </w: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26,433,617</w:t>
            </w: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ind w:left="60" w:right="199"/>
        <w:spacing w:after="0" w:line="289" w:lineRule="auto"/>
        <w:rPr>
          <w:sz w:val="20"/>
          <w:szCs w:val="20"/>
          <w:color w:val="auto"/>
        </w:rPr>
      </w:pPr>
      <w:r>
        <w:rPr>
          <w:rFonts w:ascii="Times New Roman" w:cs="Times New Roman" w:eastAsia="Times New Roman" w:hAnsi="Times New Roman"/>
          <w:sz w:val="17"/>
          <w:szCs w:val="17"/>
          <w:color w:val="auto"/>
        </w:rPr>
        <w:t>During the quarter, we completed various acquisitions totaling approximately $802.8 million, primarily consisting of land held for future development and other real estate and development-related investments. These investments included land acquisitions in Charlotte, Chicago, Indianapolis, as well as other investments in real estate and development properties.</w:t>
      </w:r>
    </w:p>
    <w:p>
      <w:pPr>
        <w:spacing w:after="0" w:line="15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June 30, 2026, the Company completed the acquisition of 64% blended partnership interests in the Digital Carver Dulles 9 JV, LLC and Digital Carver Brickyard JV, LLC joint ventures (collectively, the “joint ventures”) (the “June 2026 Acquisition”). Prior to the June 2026 Acquisition, the Company held the remaining 36% blended partnership interests in the joint ventures. After closing, each of the joint ventures became a wholly owned subsidiary of the Operating Partnership, which caused the Company to include the net book value of its 36% blended partnership interests as part of the purchase consideration. In accordance with ASC 805-50, the transaction was treated as a step-acquisition of assets using a cost-accumulation model. The aggregate costs of the acquisition of approximately $5.2 billion allocated was established by combining the historical carrying value of the Company's blended 36% interest ($494 million), the cash and equity paid for the remaining blended 64% interest ($3.5 billion), the company-earned promote ($201 million), direct capitalized transaction costs ($30 million) and the fair value of the assumed debt ($726 million) and other liabilities ($222 million). No gain or loss was recognized on the previously held interests.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quarter, we completed the sale of a non-core asset in the Dallas metro area for gross proceeds of approximately $0.8 million and recognized a gain of approximately $0.6 million. Additionally, we completed the sale of an easement in the Northern Virginia metro area and recognized a gain of approximately $8.2 million.</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These assets were not representative of a significant component of our portfolio, nor will the dispositions represent a significant shift in our strategy.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August 18, 2026, we completed the acquisition of Columbia Capital, an investment management platform focused on the communications, technology and digital infrastructure sectors (the “Columbia Capital Acquisition”). The Columbia Capital Acquisition expands the Company’s capabilities across the digital infrastructure ecosystem.</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accordance with ASC 805, the Columbia Capital Acquisition was accounted for as a business combination using the acquisition method of accounting. The aggregate acquisition-date fair value of consideration transferred was approximately $690.1 million, consisting of 2.3 million shares of Digital Realty common stock with a fair value of $453.0 million, cash paid of $17.1 million and contingent consideration with a fair value of $220.0 million, payable in Digital Realty common stock. The contingent consideration relates to an earnout based on the achievement of specified future management fee performance targets and is included within Accounts payable and other accrued liabilities on the condensed consolidated balance sheets. The contingent consideration has a maximum payout of 1.5 million shares and is classified in Level 3 of the fair value hierarchy due to its significant inputs not being observable in the market, including a discount rate of approximately 13.75%.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Columbia Capital Acquisition, we incurred approximately $23 million in acquisition-related costs.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expenses are included in Transactions and integration on our condensed consolidated income statements.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amounts recorded at the acquisition date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Provisional Fair Value</w:t>
            </w:r>
          </w:p>
        </w:tc>
      </w:tr>
      <w:tr>
        <w:trPr>
          <w:trHeight w:val="199"/>
        </w:trPr>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3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499,143</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 value, deferred leasing costs and other intangibles, net</w:t>
            </w:r>
          </w:p>
        </w:tc>
        <w:tc>
          <w:tcPr>
            <w:tcW w:w="3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194,309</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Security deposits and prepaid rents</w:t>
            </w:r>
          </w:p>
        </w:tc>
        <w:tc>
          <w:tcPr>
            <w:tcW w:w="3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10"/>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690,145</w:t>
            </w:r>
          </w:p>
        </w:tc>
      </w:tr>
      <w:tr>
        <w:trPr>
          <w:trHeight w:val="20"/>
        </w:trPr>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The purchase price of the Columbia Capital Acquisition exceeded the fair value of the identifiable net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intangible assets acquired and liabilities assumed by approximately $499.1 million. This amount was recorded as goodwill. We believe the strategic benefits of the acquisition support the value of goodwill recorded. Specifically, the Columbia Capital Acquisition expands the Company’s investment management capabilities across the communications, technology and digital infrastructure sectors and provides an established investment management platform, customer relationships and investment management contracts. The acquisition is expected to enhance the Company’s ability to capitalize on future growth opportunities across the digital infrastructure ecosystem and expand its relationships with institutional capital partners. We believe that the goodwill recorded as a result of the Columbia Capital Acquisition will be deductible for federal income tax purposes.</w:t>
      </w:r>
    </w:p>
    <w:p>
      <w:pPr>
        <w:spacing w:after="0" w:line="19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Columbia Capital Acquisition was not material, and neither the assets acquired nor the results of operations of the acquired business were significant to the Company’s consolidated financial position or results of operations. Accordingly, pro forma financial information has not been presented.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relationships, deferred leasing costs and other intangibles, net — </w:t>
      </w:r>
      <w:r>
        <w:rPr>
          <w:rFonts w:ascii="Times New Roman" w:cs="Times New Roman" w:eastAsia="Times New Roman" w:hAnsi="Times New Roman"/>
          <w:sz w:val="18"/>
          <w:szCs w:val="18"/>
          <w:color w:val="auto"/>
        </w:rPr>
        <w:t>In connection with the Columbia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we recognized approximately $194.3 million of identifiable intangible assets, consisting primarily of $150.0 million related to existing investment management contracts, $42.6 million related to customer relationships and $1.7 million related to trade names. The intangible assets will be amortized over their respective useful lives as follows:</w:t>
      </w:r>
    </w:p>
    <w:p>
      <w:pPr>
        <w:spacing w:after="0" w:line="182" w:lineRule="exact"/>
        <w:rPr>
          <w:sz w:val="20"/>
          <w:szCs w:val="20"/>
          <w:color w:val="auto"/>
        </w:rPr>
      </w:pPr>
    </w:p>
    <w:p>
      <w:pPr>
        <w:ind w:left="720" w:right="4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Investment Management Contracts: Amortized to amortization expense on a straight-line basis over estimated useful lives ranging from 2 to 8 years.</w:t>
      </w:r>
    </w:p>
    <w:p>
      <w:pPr>
        <w:ind w:left="720" w:right="1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Amortized to amortization expense on a straight-line basis over an estimated useful life of 7 years.</w:t>
      </w:r>
    </w:p>
    <w:p>
      <w:pPr>
        <w:ind w:left="720" w:right="49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Names: Amortized to amortization expense on a straight-line basis over an estimated useful life of 7.5 years.</w:t>
      </w:r>
    </w:p>
    <w:p>
      <w:pPr>
        <w:spacing w:after="0" w:line="181"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The purchase price allocation is preliminary, may be revised as additional information regarding facts and circumstances becomes available and is expected to be finalized within one year of the acquisition date. Any resulting measurement-period adjustments may affect the amounts assigned to the assets acquired and liabilities assumed, including goodwill.</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generate most of our revenue by leasing operating properties to customers under operating lease agreements. We recognize the total minimum lease payments provided for under the leases on a straight-line basis over the lease term if we determine that it is probable that substantially all of the lease payments will be collected over the lease term. Otherwise, rental revenue is recognized based on the amount contractually due. Generally, under the terms of our leases, some of our rental expenses, including common area maintenance, real estate taxes and insurance, are recovered from our customers. We record amounts reimbursed by customers in the period the applicable expenses are incurred, which is generally ratably throughout the term of the lease. Reimbursements are recognized in Rental and other services revenue in the condensed consolidated income statements as we are the primary obligor with respect to purchasing and selecting goods and services from third party vendors and bearing the associated credit risk. As of September 30, 2026, our two largest customers accounted for approximately 11% and 10%, respectively, of our total revenue. No other individual customer makes up more than 10% of our total revenue.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lease space at certain of our data centers from third parties and certain equipment under noncancelable lease agreements. Leases for our data centers expire at various dates through 2069. As of September 30, 2026, certain of our data centers, primarily in Europe and Singapore, are subject to ground leases. As of September 30, 2026, the termination dates of these ground leases generally range from 2038 to 2073. In addition, our corporate headquarters along with several regional office locations are subject to leases with termination dates ranging from 2026 to 2037.</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leases generally require us to make fixed rental payments that increase at defined intervals during the term of the lease, plus pay our share of common area, real estate and utility expenses as incurred. The leases neither contain residual value guarantees nor impose material restrictions or covenants on us. Further, the leases have been classified and accounted for as either operating or finance leases. Rent expense related to operating leases included in rental property operating and maintenance expense in the condensed consolidated income statements amounted to approximately $40.6 million and $40.5 million for the three months ended September 30, 2026 and 2025, respectively, and approximately $122.2 million and $118.8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Receivables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and Other Receivables, Net</w:t>
      </w:r>
    </w:p>
    <w:p>
      <w:pPr>
        <w:spacing w:after="0" w:line="227"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Accounts and other receivables, net is primarily comprised of contractual rents and other lease-related obligations currently due from customers. These amounts (net of an allowance for doubtful accounts) are shown in the subsequent table as Accounts receivable – trade, net. The other receivables shown separately from Accounts receivable – trade, net consist primarily of value-added tax receivables, various management fees for functions provided to managed joint ventures, as well as amounts that have not yet been billed to customers, such as for utility reimbursements and installation fees.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260" w:type="dxa"/>
            <w:vAlign w:val="bottom"/>
          </w:tcPr>
          <w:p>
            <w:pPr>
              <w:spacing w:after="0"/>
              <w:rPr>
                <w:sz w:val="17"/>
                <w:szCs w:val="17"/>
                <w:color w:val="auto"/>
              </w:rPr>
            </w:pP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Balance as of</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26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8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991,835</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815,146</w:t>
            </w: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(78,043)</w:t>
            </w: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(86,351)</w:t>
            </w:r>
          </w:p>
        </w:tc>
      </w:tr>
      <w:tr>
        <w:trPr>
          <w:trHeight w:val="196"/>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trade, net</w:t>
            </w:r>
          </w:p>
        </w:tc>
        <w:tc>
          <w:tcPr>
            <w:tcW w:w="2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913,792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728,795</w:t>
            </w:r>
          </w:p>
        </w:tc>
      </w:tr>
      <w:tr>
        <w:trPr>
          <w:trHeight w:val="203"/>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customer recoveries</w:t>
            </w: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273,998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213,023</w:t>
            </w: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Value-added tax receivables</w:t>
            </w: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130,837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109,816</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installation fees</w:t>
            </w: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119,295</w:t>
            </w:r>
          </w:p>
        </w:tc>
      </w:tr>
      <w:tr>
        <w:trPr>
          <w:trHeight w:val="203"/>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147,319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187,966</w:t>
            </w:r>
          </w:p>
        </w:tc>
      </w:tr>
      <w:tr>
        <w:trPr>
          <w:trHeight w:val="196"/>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1,809,964</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1,358,895</w:t>
            </w:r>
          </w:p>
        </w:tc>
      </w:tr>
      <w:tr>
        <w:trPr>
          <w:trHeight w:val="20"/>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Deferred Rent, Net</w:t>
      </w:r>
    </w:p>
    <w:p>
      <w:pPr>
        <w:spacing w:after="0" w:line="227"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Deferred rent, net represents rental income that has been recognized as revenue but which is not yet due from customers under their existing rental agreements. The Company recognizes an allowance for deferred rent receivables to the extent it becomes no longer probable that a customer or group of customers will be able to make substantially all of their required cash rental payments over the entirety of their respective lease terms.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280" w:type="dxa"/>
            <w:vAlign w:val="bottom"/>
          </w:tcPr>
          <w:p>
            <w:pPr>
              <w:spacing w:after="0"/>
              <w:rPr>
                <w:sz w:val="17"/>
                <w:szCs w:val="17"/>
                <w:color w:val="auto"/>
              </w:rPr>
            </w:pP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Balance as of</w:t>
            </w:r>
          </w:p>
        </w:tc>
      </w:tr>
      <w:tr>
        <w:trPr>
          <w:trHeight w:val="21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260" w:type="dxa"/>
            <w:vAlign w:val="bottom"/>
          </w:tcPr>
          <w:p>
            <w:pPr>
              <w:spacing w:after="0"/>
              <w:rPr>
                <w:sz w:val="18"/>
                <w:szCs w:val="18"/>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Pr>
          <w:p>
            <w:pPr>
              <w:spacing w:after="0"/>
              <w:rPr>
                <w:sz w:val="18"/>
                <w:szCs w:val="18"/>
                <w:color w:val="auto"/>
              </w:rPr>
            </w:pPr>
          </w:p>
        </w:tc>
        <w:tc>
          <w:tcPr>
            <w:tcW w:w="18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receivables</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834,912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752,531</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deferred rent receivables</w:t>
            </w:r>
          </w:p>
        </w:tc>
        <w:tc>
          <w:tcPr>
            <w:tcW w:w="260" w:type="dxa"/>
            <w:vAlign w:val="bottom"/>
          </w:tcPr>
          <w:p>
            <w:pPr>
              <w:spacing w:after="0"/>
              <w:rPr>
                <w:sz w:val="17"/>
                <w:szCs w:val="17"/>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(2,104)</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196"/>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net</w:t>
            </w: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750,907</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Investments in Unconsolidated Entities</w:t>
      </w:r>
    </w:p>
    <w:p>
      <w:pPr>
        <w:spacing w:after="0" w:line="229" w:lineRule="exact"/>
        <w:rPr>
          <w:sz w:val="20"/>
          <w:szCs w:val="20"/>
          <w:color w:val="auto"/>
        </w:rPr>
      </w:pPr>
    </w:p>
    <w:p>
      <w:pPr>
        <w:ind w:left="60" w:right="159"/>
        <w:spacing w:after="0" w:line="278" w:lineRule="auto"/>
        <w:rPr>
          <w:sz w:val="20"/>
          <w:szCs w:val="20"/>
          <w:color w:val="auto"/>
        </w:rPr>
      </w:pPr>
      <w:r>
        <w:rPr>
          <w:rFonts w:ascii="Times New Roman" w:cs="Times New Roman" w:eastAsia="Times New Roman" w:hAnsi="Times New Roman"/>
          <w:sz w:val="18"/>
          <w:szCs w:val="18"/>
          <w:color w:val="auto"/>
        </w:rPr>
        <w:t>A summary of the Company’s investments in unconsolidated entities accounted for under the equity method of accounting is shown below (in thousands):</w:t>
      </w:r>
    </w:p>
    <w:tbl>
      <w:tblPr>
        <w:tblLayout w:type="fixed"/>
        <w:tblInd w:w="4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60" w:type="dxa"/>
            <w:vAlign w:val="bottom"/>
          </w:tcPr>
          <w:p>
            <w:pPr>
              <w:spacing w:after="0"/>
              <w:rPr>
                <w:sz w:val="16"/>
                <w:szCs w:val="16"/>
                <w:color w:val="auto"/>
              </w:rPr>
            </w:pPr>
          </w:p>
        </w:tc>
        <w:tc>
          <w:tcPr>
            <w:tcW w:w="18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5"/>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18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41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Americas </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2,359,235</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1,995,074</w:t>
            </w:r>
          </w:p>
        </w:tc>
      </w:tr>
      <w:tr>
        <w:trPr>
          <w:trHeight w:val="203"/>
        </w:trPr>
        <w:tc>
          <w:tcPr>
            <w:tcW w:w="43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APAC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706,115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707,368</w:t>
            </w:r>
          </w:p>
        </w:tc>
      </w:tr>
      <w:tr>
        <w:trPr>
          <w:trHeight w:val="203"/>
        </w:trPr>
        <w:tc>
          <w:tcPr>
            <w:tcW w:w="4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EMEA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314,601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269,344</w:t>
            </w:r>
          </w:p>
        </w:tc>
      </w:tr>
      <w:tr>
        <w:trPr>
          <w:trHeight w:val="202"/>
        </w:trPr>
        <w:tc>
          <w:tcPr>
            <w:tcW w:w="4320" w:type="dxa"/>
            <w:vAlign w:val="bottom"/>
            <w:tcBorders>
              <w:bottom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Global </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425,511</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456,117</w:t>
            </w:r>
          </w:p>
        </w:tc>
      </w:tr>
      <w:tr>
        <w:trPr>
          <w:trHeight w:val="196"/>
        </w:trPr>
        <w:tc>
          <w:tcPr>
            <w:tcW w:w="4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3,805,462</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3,427,903</w:t>
            </w: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40" w:type="dxa"/>
            <w:vAlign w:val="bottom"/>
          </w:tcPr>
          <w:p>
            <w:pPr>
              <w:spacing w:after="0"/>
              <w:rPr>
                <w:sz w:val="7"/>
                <w:szCs w:val="7"/>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the following unconsolidated entities along with our ownership percentage as of September 30, 2026:</w:t>
      </w:r>
    </w:p>
    <w:p>
      <w:pPr>
        <w:spacing w:after="0" w:line="27" w:lineRule="exact"/>
        <w:rPr>
          <w:sz w:val="20"/>
          <w:szCs w:val="20"/>
          <w:color w:val="auto"/>
        </w:rPr>
      </w:pPr>
    </w:p>
    <w:p>
      <w:pPr>
        <w:jc w:val="both"/>
        <w:ind w:left="380" w:right="339" w:hanging="330"/>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Ascenty (49%), Blackstone (50%), Clise (50%), GI Partners (ranging from 20% to 25%), Mapletree (20%), Menlo (20%), Mitsubishi (20%), Realty Income (20%), TPG Real Estate (20%), Digital Realty DC Partners NA Fund (the “Fund”) (ranging from 20% to 62.5%) and Walsh (88%).</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Connexion (33%), Digital Realty Bersama (50%), Lumen (50%) and MC Digital Realty (50%).</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(20%), Medallion (60%), and Mivne (50%).</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Core REIT (ranging from 10% to 35%).</w:t>
      </w:r>
    </w:p>
    <w:p>
      <w:pPr>
        <w:spacing w:after="0" w:line="20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Generally, we serve as the managing member responsible for operations in the ordinary course of business of the unconsolidated entities. We perform the day-to-day accounting and property management functions for the unconsolidated entities and, as such, will earn management fees. In certain unconsolidated entities, we may also earn incentive fees upon liquidation of individual unconsolidated entities’ assets based primarily on the total return of the investments over certain financial hurdles. The incentive fee and financial hurdle vary by each entity. However, certain approval rights are granted through the terms of the operating agreements and require unanimous consent of both members with respect to any major decisions. Generally, major decisions are defined to include the annual plan which sets out unconsolidated entity and property level budgets, including lease revenues, operating expenses, and capital expenditures. As such, we concluded we do not own a controlling interest and account for our interest in the unconsolidated entities under the equity method of accounting.</w:t>
      </w:r>
    </w:p>
    <w:p>
      <w:pPr>
        <w:spacing w:after="0" w:line="19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Realty DC Partners NA Fund – </w:t>
      </w:r>
      <w:r>
        <w:rPr>
          <w:rFonts w:ascii="Times New Roman" w:cs="Times New Roman" w:eastAsia="Times New Roman" w:hAnsi="Times New Roman"/>
          <w:sz w:val="18"/>
          <w:szCs w:val="18"/>
          <w:color w:val="auto"/>
        </w:rPr>
        <w:t>During the first half of 2025, the Company launched the Fund, successfully raising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$3 billion of equity commitments to date. As of March 31, 2026, the Fund owned an 80% interest in each individual asset, while the Company retained the remaining 20% ownership and less than a 2% direct interest in the Fund. In May 2026, we contributed two development assets to the Fund, while retaining ownership interests of 58.1% and 62.5% in the respective assets. The Company will continue to serve as general partner, maintaining operational and management responsibilities for the assets. However, certain governance rights are granted to the limited partners. As such, we continue to conclude we do not own a controlling interest and account for our interest in the assets under the equity method of accounting.</w:t>
      </w:r>
    </w:p>
    <w:p>
      <w:pPr>
        <w:spacing w:after="0" w:line="18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DCREIT </w:t>
      </w:r>
      <w:r>
        <w:rPr>
          <w:rFonts w:ascii="Times New Roman" w:cs="Times New Roman" w:eastAsia="Times New Roman" w:hAnsi="Times New Roman"/>
          <w:sz w:val="18"/>
          <w:szCs w:val="18"/>
          <w:color w:val="auto"/>
        </w:rPr>
        <w:t>– Digital Core REIT is a standalone real estate investment trust formed under Singapore law, which is publicly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traded on the Singapore Exchange under the ticker symbol “DCRU”. DCREIT owns 11 operating data center properties. The Company has ownership interest in the units of DCREIT, as well as ownership interests in the operating properties of DCREIT.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August 2026, DCREIT entered into agreements with subsidiaries of the Company to acquire an additional 25% interest in a data center in Osaka, Japan for approximately $108.5 million and a 2.5% interest in a data center in Singapore for approximately $67.6 million. DCREIT also agreed to sell its 90% interest in data centers in Los Angeles and Toronto and a 39% interest in a data center in Northern Virginia to subsidiaries of the Company for aggregate consideration of approximately $315.9 million, subject to closing adjustments. The transaction is subject to customary closing conditions and is expected to close in the fourth quarter.</w:t>
      </w:r>
    </w:p>
    <w:p>
      <w:pPr>
        <w:spacing w:after="0" w:line="18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held 32% of the outstanding DCREIT units and separately owned a 10% direct retained interest in the underlying North American operating properties and a 35% direct retained interest in a Frankfurt asset.</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Company’s 32% interest in DCREIT consisted of 419 million units and 420 million units as of September 30, 2026 and December 31, 2025, respectively. Based on the closing price per unit of $0.46 and $0.51 as of September 30, 2026 and December 31, 2025, respectively, the fair value of the units the Company owned in DCREIT was approximately $193 million and $214 million as of September 30, 2026 and December 31, 2025, respectively.</w:t>
      </w:r>
    </w:p>
    <w:p>
      <w:pPr>
        <w:spacing w:after="0" w:line="180"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Pursuant to contractual agreements with DCREIT and its operating properties, the Company will earn fees for asset and property management services as well as fees for aiding in future acquisition, disposition and development activities. Certain of these fees are payable to the Company in the form of additional units in DCREIT or in cash. The Company earned fees pursuant to these contractual agreements of approximately $2.7 million and $2.7 million for the three months ended September 30, 2026 and 2025, respectively, and $8.2 million and $8.9 million for the nine months ended September 30, 2026 and 2025, respectively, which are recorded as Fee income and other on the condensed consolidated income statements.</w:t>
      </w:r>
    </w:p>
    <w:p>
      <w:pPr>
        <w:spacing w:after="0" w:line="18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Ascenty </w:t>
      </w:r>
      <w:r>
        <w:rPr>
          <w:rFonts w:ascii="Times New Roman" w:cs="Times New Roman" w:eastAsia="Times New Roman" w:hAnsi="Times New Roman"/>
          <w:sz w:val="18"/>
          <w:szCs w:val="18"/>
          <w:color w:val="auto"/>
        </w:rPr>
        <w:t>– In addition to the Company’s 49% ownership interest in Ascenty, there is also an approximate 2% interest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one of the Company’s noncontrolling interest holders. This 2% interest had a carrying value of approximately $23 million as of September 30, 2026 and December 31, 2025. Ascenty is a variable interest entity (“VIE”) and the Company’s maximum exposure to loss related to this VIE is limited to our equity investment in the entity.</w:t>
      </w:r>
    </w:p>
    <w:p>
      <w:pPr>
        <w:spacing w:after="0" w:line="17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debt of our unconsolidated entities generally is non-recourse to us, except for customary exceptions pertaining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matters such as intentional misuse of funds, environmental conditions, and material misrepresentations.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Changes in the value of goodwill during the nine months ended September 30, 2026 were primarily driven by the Columbia Capital Acquisition in August 2026 and changes in exchange rates associated with goodwill balances denominated in foreign currencies.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goodwill activity for the nine months ended September 30, 2026:</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Impact of 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62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Foreign</w:t>
            </w:r>
          </w:p>
        </w:tc>
        <w:tc>
          <w:tcPr>
            <w:tcW w:w="5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jc w:val="center"/>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Exchange Rates</w:t>
            </w:r>
          </w:p>
        </w:tc>
        <w:tc>
          <w:tcPr>
            <w:tcW w:w="580" w:type="dxa"/>
            <w:vAlign w:val="bottom"/>
            <w:gridSpan w:val="2"/>
            <w:vMerge w:val="continue"/>
          </w:tcPr>
          <w:p>
            <w:pPr>
              <w:spacing w:after="0"/>
              <w:rPr>
                <w:sz w:val="15"/>
                <w:szCs w:val="15"/>
                <w:color w:val="auto"/>
              </w:rPr>
            </w:pPr>
          </w:p>
        </w:tc>
        <w:tc>
          <w:tcPr>
            <w:tcW w:w="17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9,711,953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10,050,563</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Acquired Intangible Assets and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acquired intangible assets and liabilities: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0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20" w:type="dxa"/>
            <w:vAlign w:val="bottom"/>
          </w:tcPr>
          <w:p>
            <w:pPr>
              <w:jc w:val="right"/>
              <w:ind w:right="9"/>
              <w:spacing w:after="0" w:line="126"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Customer relationship value</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3,180,031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(1,390,861)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1,789,170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2,921,841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(1,271,137)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1,650,704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Acquired in-place lease value</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1,297,130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(894,774)</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987,495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(853,333)</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Existing investment</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150,012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(3,657)</w:t>
            </w: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146,355</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contracts</w:t>
            </w: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(62,774)</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(61,403)</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Acquired above-market</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(110,020)</w:t>
            </w: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(109,352)</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Acquired below-market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(724,891)</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198,058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(526,833)</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(241,779)</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209,607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(32,172)</w:t>
            </w:r>
          </w:p>
        </w:tc>
        <w:tc>
          <w:tcPr>
            <w:tcW w:w="0" w:type="dxa"/>
            <w:vAlign w:val="bottom"/>
          </w:tcPr>
          <w:p>
            <w:pPr>
              <w:spacing w:after="0"/>
              <w:rPr>
                <w:sz w:val="1"/>
                <w:szCs w:val="1"/>
                <w:color w:val="auto"/>
              </w:rPr>
            </w:pPr>
          </w:p>
        </w:tc>
      </w:tr>
      <w:tr>
        <w:trPr>
          <w:trHeight w:val="17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4,128,594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(2,264,028)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1,864,566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3,892,990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(2,085,618)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1,807,372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Amortization of customer relationship value, acquired in-place lease value and other intangibles (a component of depreciation and amortization expense) was approximately $65.3 million and $58.8 million for the three months ended September 30, 2026 and 2025, respectively, and approximately $185.5 million and $172.6 million for the nine months ended September 30, 2026 and 2025, respectively.</w:t>
      </w:r>
    </w:p>
    <w:p>
      <w:pPr>
        <w:spacing w:after="0" w:line="18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connection with the Columbia Capital Acquisition, we recognized intangible assets related to customer relationship value, existing investment management contracts and trade names. Amortization expense related to these intangible assets was approximately $4.4 million from the acquisition date through September 30, 2026.</w:t>
      </w:r>
    </w:p>
    <w:p>
      <w:pPr>
        <w:spacing w:after="0" w:line="1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Amortization of acquired below-market leases, net of acquired above-market leases, resulted in an increase in rental and other services revenue of $2.5 million and $1.3 million for the three months ended September 30, 2026 and 2025, respectively, and approximately $5.3 million and $3.8 million for the nine months ended September 30, 2026 and 2025, respectively.</w:t>
      </w:r>
    </w:p>
    <w:p>
      <w:pPr>
        <w:spacing w:after="0" w:line="180"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Estimated annual amortization for each of the five succeeding years and thereafter, commencing October 1, 2026 is as follows:</w:t>
      </w:r>
    </w:p>
    <w:tbl>
      <w:tblPr>
        <w:tblLayout w:type="fixed"/>
        <w:tblInd w:w="40" w:type="dxa"/>
        <w:tblCellMar>
          <w:top w:w="0" w:type="dxa"/>
          <w:left w:w="0" w:type="dxa"/>
          <w:bottom w:w="0" w:type="dxa"/>
          <w:right w:w="0" w:type="dxa"/>
        </w:tblCellMar>
      </w:tblPr>
      <w:tr>
        <w:trPr>
          <w:trHeight w:val="137"/>
        </w:trPr>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Existing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in-place</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Acquired above-</w:t>
            </w:r>
          </w:p>
        </w:tc>
        <w:tc>
          <w:tcPr>
            <w:tcW w:w="140" w:type="dxa"/>
            <w:vAlign w:val="bottom"/>
          </w:tcPr>
          <w:p>
            <w:pPr>
              <w:spacing w:after="0"/>
              <w:rPr>
                <w:sz w:val="12"/>
                <w:szCs w:val="12"/>
                <w:color w:val="auto"/>
              </w:rPr>
            </w:pPr>
          </w:p>
        </w:tc>
        <w:tc>
          <w:tcPr>
            <w:tcW w:w="12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Acquired below-</w:t>
            </w: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 value</w:t>
            </w: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lease value</w:t>
            </w: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 leases</w:t>
            </w:r>
          </w:p>
        </w:tc>
        <w:tc>
          <w:tcPr>
            <w:tcW w:w="140" w:type="dxa"/>
            <w:vAlign w:val="bottom"/>
          </w:tcPr>
          <w:p>
            <w:pPr>
              <w:spacing w:after="0"/>
              <w:rPr>
                <w:sz w:val="15"/>
                <w:szCs w:val="15"/>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market leases</w:t>
            </w: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0" w:type="dxa"/>
            <w:vAlign w:val="bottom"/>
          </w:tcPr>
          <w:p>
            <w:pPr>
              <w:spacing w:after="0"/>
              <w:rPr>
                <w:sz w:val="1"/>
                <w:szCs w:val="1"/>
                <w:color w:val="auto"/>
              </w:rPr>
            </w:pP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c>
          <w:tcPr>
            <w:tcW w:w="0" w:type="dxa"/>
            <w:vAlign w:val="bottom"/>
          </w:tcPr>
          <w:p>
            <w:pPr>
              <w:spacing w:after="0"/>
              <w:rPr>
                <w:sz w:val="1"/>
                <w:szCs w:val="1"/>
                <w:color w:val="auto"/>
              </w:rPr>
            </w:pP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(379,661)</w:t>
            </w:r>
          </w:p>
        </w:tc>
        <w:tc>
          <w:tcPr>
            <w:tcW w:w="0" w:type="dxa"/>
            <w:vAlign w:val="bottom"/>
          </w:tcPr>
          <w:p>
            <w:pPr>
              <w:spacing w:after="0"/>
              <w:rPr>
                <w:sz w:val="1"/>
                <w:szCs w:val="1"/>
                <w:color w:val="auto"/>
              </w:rPr>
            </w:pPr>
          </w:p>
        </w:tc>
      </w:tr>
      <w:tr>
        <w:trPr>
          <w:trHeight w:val="210"/>
        </w:trPr>
        <w:tc>
          <w:tcPr>
            <w:tcW w:w="13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 of the Operating Partnership</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All debt is currently held by the OP or its consolidated subsidiaries, and the Parent is the guarantor or co-guarantor of the Global Revolving Credit Facility and the Yen Revolving Credit Facility, the unsecured term loans and the unsecured senior notes. A summary of outstanding indebtedness is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5"/>
                <w:szCs w:val="15"/>
                <w:color w:val="auto"/>
              </w:rPr>
            </w:pPr>
          </w:p>
        </w:tc>
        <w:tc>
          <w:tcPr>
            <w:tcW w:w="210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20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1180" w:type="dxa"/>
            <w:vAlign w:val="bottom"/>
            <w:tcBorders>
              <w:top w:val="single" w:sz="8" w:color="auto"/>
            </w:tcBorders>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lef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15"/>
                <w:szCs w:val="15"/>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15"/>
                <w:szCs w:val="15"/>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Revolving Credit Facilities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1,655,570</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918,540</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term loans</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3.29 %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424,875</w:t>
            </w:r>
          </w:p>
        </w:tc>
        <w:tc>
          <w:tcPr>
            <w:tcW w:w="240" w:type="dxa"/>
            <w:vAlign w:val="bottom"/>
          </w:tcPr>
          <w:p>
            <w:pPr>
              <w:spacing w:after="0"/>
              <w:rPr>
                <w:sz w:val="18"/>
                <w:szCs w:val="18"/>
                <w:color w:val="auto"/>
              </w:rPr>
            </w:pPr>
          </w:p>
        </w:tc>
        <w:tc>
          <w:tcPr>
            <w:tcW w:w="9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2.73 %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440,475</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15,915,981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16,321,227</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Secured and other debt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6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1,622,549</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8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876,528</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19,618,975</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18,556,770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weighted-average interest rates shown represent interest rates at the end of the periods for the debt outstanding and include the impact of designated interest rate swaps, which effectively fix the interest rates on certain variable rate debt, along with cross-currency interest rate swaps, which effectively convert a portion of our U.S. dollar-denominated fixed-rate debt to foreign currency-denominated fixed-rate debt in order to hedge the currency exposure associated with our net investment in foreign subsidiaries.</w:t>
      </w:r>
    </w:p>
    <w:p>
      <w:pPr>
        <w:spacing w:after="0" w:line="183"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We primarily borrow in the functional currencies of the countries where we invest. Included in the outstanding balances were borrowings denominated in the following currencies (in thousands, U.S. dollars):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Denomination of Draw</w:t>
            </w:r>
          </w:p>
        </w:tc>
        <w:tc>
          <w:tcPr>
            <w:tcW w:w="4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7"/>
                <w:szCs w:val="17"/>
                <w:color w:val="auto"/>
              </w:rPr>
            </w:pP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31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3,849,910</w:t>
            </w:r>
          </w:p>
        </w:tc>
        <w:tc>
          <w:tcPr>
            <w:tcW w:w="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2,922,170</w:t>
            </w:r>
          </w:p>
        </w:tc>
        <w:tc>
          <w:tcPr>
            <w:tcW w:w="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1,193,850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1,212,750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12,233,669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12,199,575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2,341,546</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2,222,275</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19,618,975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18,556,770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debt maturities and principal payments as of September 30, 2026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Global Revolving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Secured 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20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Credit Facilities </w:t>
            </w:r>
            <w:r>
              <w:rPr>
                <w:rFonts w:ascii="Times New Roman" w:cs="Times New Roman" w:eastAsia="Times New Roman" w:hAnsi="Times New Roman"/>
                <w:sz w:val="17"/>
                <w:szCs w:val="17"/>
                <w:b w:val="1"/>
                <w:bCs w:val="1"/>
                <w:color w:val="auto"/>
                <w:vertAlign w:val="superscript"/>
              </w:rPr>
              <w:t>(1)</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2"/>
                <w:szCs w:val="12"/>
                <w:b w:val="1"/>
                <w:bCs w:val="1"/>
                <w:color w:val="auto"/>
              </w:rPr>
              <w:t>Term Loans</w:t>
            </w:r>
            <w:r>
              <w:rPr>
                <w:rFonts w:ascii="Times New Roman" w:cs="Times New Roman" w:eastAsia="Times New Roman" w:hAnsi="Times New Roman"/>
                <w:sz w:val="17"/>
                <w:szCs w:val="17"/>
                <w:b w:val="1"/>
                <w:bCs w:val="1"/>
                <w:color w:val="auto"/>
                <w:vertAlign w:val="superscript"/>
              </w:rPr>
              <w:t>(3)</w:t>
            </w: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Senior Notes</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 Debt</w:t>
            </w:r>
          </w:p>
        </w:tc>
        <w:tc>
          <w:tcPr>
            <w:tcW w:w="34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0" w:type="dxa"/>
            <w:vAlign w:val="bottom"/>
          </w:tcPr>
          <w:p>
            <w:pPr>
              <w:spacing w:after="0"/>
              <w:rPr>
                <w:sz w:val="1"/>
                <w:szCs w:val="1"/>
                <w:color w:val="auto"/>
              </w:rPr>
            </w:pPr>
          </w:p>
        </w:tc>
      </w:tr>
      <w:tr>
        <w:trPr>
          <w:trHeight w:val="116"/>
        </w:trPr>
        <w:tc>
          <w:tcPr>
            <w:tcW w:w="22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(2)</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57,447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386,470</w:t>
            </w: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424,875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1,179,467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1,000,059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2,604,401</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2,116,500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414,255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2,530,755</w:t>
            </w: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1,655,570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2,837,316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4,519,517</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1,579,325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1,661,597</w:t>
            </w:r>
          </w:p>
        </w:tc>
        <w:tc>
          <w:tcPr>
            <w:tcW w:w="0" w:type="dxa"/>
            <w:vAlign w:val="bottom"/>
          </w:tcPr>
          <w:p>
            <w:pPr>
              <w:spacing w:after="0"/>
              <w:rPr>
                <w:sz w:val="1"/>
                <w:szCs w:val="1"/>
                <w:color w:val="auto"/>
              </w:rPr>
            </w:pPr>
          </w:p>
        </w:tc>
      </w:tr>
      <w:tr>
        <w:trPr>
          <w:trHeight w:val="149"/>
        </w:trPr>
        <w:tc>
          <w:tcPr>
            <w:tcW w:w="2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7,874,350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7,916,235</w:t>
            </w:r>
          </w:p>
        </w:tc>
        <w:tc>
          <w:tcPr>
            <w:tcW w:w="0" w:type="dxa"/>
            <w:vAlign w:val="bottom"/>
          </w:tcPr>
          <w:p>
            <w:pPr>
              <w:spacing w:after="0"/>
              <w:rPr>
                <w:sz w:val="1"/>
                <w:szCs w:val="1"/>
                <w:color w:val="auto"/>
              </w:rPr>
            </w:pPr>
          </w:p>
        </w:tc>
      </w:tr>
      <w:tr>
        <w:trPr>
          <w:trHeight w:val="142"/>
        </w:trPr>
        <w:tc>
          <w:tcPr>
            <w:tcW w:w="220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Subtotal</w:t>
            </w: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1,655,570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424,875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15,915,981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1,622,549</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19,618,975</w:t>
            </w: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Unamortized net discounts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(39,593)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(39,593)</w:t>
            </w: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Unamortized deferred financing</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(15,104)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(511)</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(66,906)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(2,246)</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(84,767)</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1,640,466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424,364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15,809,482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1,620,303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19,494,615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outstanding for the Global Revolving Credit Facilities.</w:t>
      </w:r>
    </w:p>
    <w:p>
      <w:pPr>
        <w:spacing w:after="0" w:line="27"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Revolving Credit Facilities are subject to two six-month extension options exercisable by us; provided that the Operating Partnership must pay a 0.0625% extension fee based on each lender’s revolving commitments then outstanding (whether funded or unfunded).</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2026, we exercised the one-year maturity extension option; the current maturity date is August 11, 2027.</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Revolving Credit Facilities</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have a Global Revolving Credit Facility under which we may draw up to $4.2 billion equivalent on a revolving basis (subject to currency fluctuations). The Global Revolving Credit Facility can be drawn in Australian dollars, British pound sterling, Canadian dollars, Euros, Hong Kong dollars, Indonesian rupiah, Japanese yen, Korean won, Singapore dollars, Swiss francs and U.S. dollars (with the ability to add other currencies in the future). As of September 30, 2026, approximately $100.8 million of letters of credit were issued.</w:t>
      </w:r>
    </w:p>
    <w:p>
      <w:pPr>
        <w:spacing w:after="0" w:line="183" w:lineRule="exact"/>
        <w:rPr>
          <w:sz w:val="20"/>
          <w:szCs w:val="20"/>
          <w:color w:val="auto"/>
        </w:rPr>
      </w:pPr>
    </w:p>
    <w:p>
      <w:pPr>
        <w:jc w:val="both"/>
        <w:ind w:left="60" w:right="499"/>
        <w:spacing w:after="0" w:line="312" w:lineRule="auto"/>
        <w:rPr>
          <w:sz w:val="20"/>
          <w:szCs w:val="20"/>
          <w:color w:val="auto"/>
        </w:rPr>
      </w:pPr>
      <w:r>
        <w:rPr>
          <w:rFonts w:ascii="Times New Roman" w:cs="Times New Roman" w:eastAsia="Times New Roman" w:hAnsi="Times New Roman"/>
          <w:sz w:val="17"/>
          <w:szCs w:val="17"/>
          <w:color w:val="auto"/>
        </w:rPr>
        <w:t>In addition to the Global Revolving Credit Facility, we have a revolving credit facility that provides for borrowings in Japanese yen of up to ¥42.5 billion (approximately $270 million based on the exchange rate on September 30, 2026).</w:t>
      </w:r>
    </w:p>
    <w:p>
      <w:pPr>
        <w:spacing w:after="0" w:line="14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September 30, 2026, we were in compliance with all of such covenants for both of these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details of our unsecured senior notes (balances in thousands):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27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 Principal Amount at Issuance</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360" w:type="dxa"/>
            <w:vAlign w:val="bottom"/>
          </w:tcPr>
          <w:p>
            <w:pPr>
              <w:spacing w:after="0"/>
              <w:rPr>
                <w:sz w:val="15"/>
                <w:szCs w:val="15"/>
                <w:color w:val="auto"/>
              </w:rPr>
            </w:pPr>
          </w:p>
        </w:tc>
        <w:tc>
          <w:tcPr>
            <w:tcW w:w="15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500" w:type="dxa"/>
            <w:vAlign w:val="bottom"/>
            <w:tcBorders>
              <w:top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Borrowing Currency</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3"/>
                <w:szCs w:val="13"/>
                <w:b w:val="1"/>
                <w:bCs w:val="1"/>
                <w:color w:val="auto"/>
              </w:rPr>
              <w:t>USD</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1300" w:type="dxa"/>
            <w:vAlign w:val="bottom"/>
            <w:tcBorders>
              <w:top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0.200% notes due 2026</w:t>
            </w:r>
          </w:p>
        </w:tc>
        <w:tc>
          <w:tcPr>
            <w:tcW w:w="600" w:type="dxa"/>
            <w:vAlign w:val="bottom"/>
            <w:tcBorders>
              <w:top w:val="single" w:sz="8" w:color="auto"/>
            </w:tcBorders>
            <w:gridSpan w:val="2"/>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CHF</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275,000</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298,404</w:t>
            </w: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Dec 15, 2026</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329,023</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1.700% notes due 2027</w:t>
            </w:r>
          </w:p>
        </w:tc>
        <w:tc>
          <w:tcPr>
            <w:tcW w:w="60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CHF</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162,465</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Mar 30, 2027</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179,467</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3.700% notes due 2027</w:t>
            </w:r>
            <w:r>
              <w:rPr>
                <w:rFonts w:ascii="Times New Roman" w:cs="Times New Roman" w:eastAsia="Times New Roman" w:hAnsi="Times New Roman"/>
                <w:sz w:val="17"/>
                <w:szCs w:val="17"/>
                <w:color w:val="auto"/>
                <w:vertAlign w:val="superscript"/>
              </w:rPr>
              <w:t>(1)</w:t>
            </w:r>
          </w:p>
        </w:tc>
        <w:tc>
          <w:tcPr>
            <w:tcW w:w="6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Aug 15, 2027</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5.550% notes due 2028</w:t>
            </w:r>
            <w:r>
              <w:rPr>
                <w:rFonts w:ascii="Times New Roman" w:cs="Times New Roman" w:eastAsia="Times New Roman" w:hAnsi="Times New Roman"/>
                <w:sz w:val="17"/>
                <w:szCs w:val="17"/>
                <w:color w:val="auto"/>
                <w:vertAlign w:val="superscript"/>
              </w:rPr>
              <w:t>(1)</w:t>
            </w:r>
          </w:p>
        </w:tc>
        <w:tc>
          <w:tcPr>
            <w:tcW w:w="6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Jan 15, 2028</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1.125% notes due 2028</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548,550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Apr 09, 2028</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566,500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4.450% notes due 2028</w:t>
            </w:r>
          </w:p>
        </w:tc>
        <w:tc>
          <w:tcPr>
            <w:tcW w:w="6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15, 2028</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0.550% notes due 2029</w:t>
            </w:r>
          </w:p>
        </w:tc>
        <w:tc>
          <w:tcPr>
            <w:tcW w:w="60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CHF</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292,478</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Apr 16, 2029</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323,041</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3.600% notes due 2029</w:t>
            </w:r>
          </w:p>
        </w:tc>
        <w:tc>
          <w:tcPr>
            <w:tcW w:w="6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01, 2029</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3.300% notes due 2029</w:t>
            </w:r>
          </w:p>
        </w:tc>
        <w:tc>
          <w:tcPr>
            <w:tcW w:w="6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454,895</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19, 2029</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464,275</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1.875% Exchangeable Notes</w:t>
            </w:r>
          </w:p>
        </w:tc>
        <w:tc>
          <w:tcPr>
            <w:tcW w:w="60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160" w:type="dxa"/>
            <w:vAlign w:val="bottom"/>
          </w:tcPr>
          <w:p>
            <w:pPr>
              <w:spacing w:after="0"/>
              <w:rPr>
                <w:sz w:val="10"/>
                <w:szCs w:val="10"/>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160" w:type="dxa"/>
            <w:vAlign w:val="bottom"/>
          </w:tcPr>
          <w:p>
            <w:pPr>
              <w:spacing w:after="0"/>
              <w:rPr>
                <w:sz w:val="10"/>
                <w:szCs w:val="10"/>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Nov 15, 2029</w:t>
            </w:r>
          </w:p>
        </w:tc>
        <w:tc>
          <w:tcPr>
            <w:tcW w:w="3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due 2029</w:t>
            </w:r>
            <w:r>
              <w:rPr>
                <w:rFonts w:ascii="Times New Roman" w:cs="Times New Roman" w:eastAsia="Times New Roman" w:hAnsi="Times New Roman"/>
                <w:sz w:val="20"/>
                <w:szCs w:val="20"/>
                <w:color w:val="auto"/>
                <w:vertAlign w:val="superscript"/>
              </w:rPr>
              <w:t>(1)</w:t>
            </w:r>
          </w:p>
        </w:tc>
        <w:tc>
          <w:tcPr>
            <w:tcW w:w="6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1.500% notes due 2030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831,900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Mar 15, 2030</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849,750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3.750% notes due 2030</w:t>
            </w:r>
          </w:p>
        </w:tc>
        <w:tc>
          <w:tcPr>
            <w:tcW w:w="6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719,825</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Oct 17, 2030</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729,575</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741,125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1.250% notes due 2031</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560,950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Feb 01, 2031</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566,500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0.625% notes due 2031</w:t>
            </w:r>
          </w:p>
        </w:tc>
        <w:tc>
          <w:tcPr>
            <w:tcW w:w="200" w:type="dxa"/>
            <w:vAlign w:val="bottom"/>
          </w:tcPr>
          <w:p>
            <w:pPr>
              <w:spacing w:after="0"/>
              <w:rPr>
                <w:sz w:val="12"/>
                <w:szCs w:val="12"/>
                <w:color w:val="auto"/>
              </w:rPr>
            </w:pPr>
          </w:p>
        </w:tc>
        <w:tc>
          <w:tcPr>
            <w:tcW w:w="4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1,220,700</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15, 2031</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1,133,000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1.000% notes due 2032</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874,500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Jan 15, 2032</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849,750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1.375% notes due 2032</w:t>
            </w:r>
          </w:p>
        </w:tc>
        <w:tc>
          <w:tcPr>
            <w:tcW w:w="200" w:type="dxa"/>
            <w:vAlign w:val="bottom"/>
          </w:tcPr>
          <w:p>
            <w:pPr>
              <w:spacing w:after="0"/>
              <w:rPr>
                <w:sz w:val="12"/>
                <w:szCs w:val="12"/>
                <w:color w:val="auto"/>
              </w:rPr>
            </w:pPr>
          </w:p>
        </w:tc>
        <w:tc>
          <w:tcPr>
            <w:tcW w:w="4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849,375</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18, 2032</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849,750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3.750% notes due 2033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691,680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Jan 15, 2033</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679,800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3.875% notes due 2033</w:t>
            </w:r>
          </w:p>
        </w:tc>
        <w:tc>
          <w:tcPr>
            <w:tcW w:w="200" w:type="dxa"/>
            <w:vAlign w:val="bottom"/>
          </w:tcPr>
          <w:p>
            <w:pPr>
              <w:spacing w:after="0"/>
              <w:rPr>
                <w:sz w:val="12"/>
                <w:szCs w:val="12"/>
                <w:color w:val="auto"/>
              </w:rPr>
            </w:pPr>
          </w:p>
        </w:tc>
        <w:tc>
          <w:tcPr>
            <w:tcW w:w="4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941,375</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Sep 13, 2033</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963,050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998,410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3.875% notes due 2034</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991,015</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Jul 15, 2034</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963,050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3.875% notes due 2035</w:t>
            </w:r>
          </w:p>
        </w:tc>
        <w:tc>
          <w:tcPr>
            <w:tcW w:w="200" w:type="dxa"/>
            <w:vAlign w:val="bottom"/>
          </w:tcPr>
          <w:p>
            <w:pPr>
              <w:spacing w:after="0"/>
              <w:rPr>
                <w:sz w:val="12"/>
                <w:szCs w:val="12"/>
                <w:color w:val="auto"/>
              </w:rPr>
            </w:pPr>
          </w:p>
        </w:tc>
        <w:tc>
          <w:tcPr>
            <w:tcW w:w="4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850,000</w:t>
            </w:r>
          </w:p>
        </w:tc>
        <w:tc>
          <w:tcPr>
            <w:tcW w:w="16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876,180</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Mar 15, 2035</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963,050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998,410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4.250% notes due 2037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922,240</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Nov 20, 2037</w:t>
            </w:r>
          </w:p>
        </w:tc>
        <w:tc>
          <w:tcPr>
            <w:tcW w:w="3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906,400</w:t>
            </w:r>
          </w:p>
        </w:tc>
        <w:tc>
          <w:tcPr>
            <w:tcW w:w="1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939,680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ind w:right="1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15,915,981</w:t>
            </w:r>
          </w:p>
        </w:tc>
        <w:tc>
          <w:tcPr>
            <w:tcW w:w="160" w:type="dxa"/>
            <w:vAlign w:val="bottom"/>
          </w:tcPr>
          <w:p>
            <w:pPr>
              <w:spacing w:after="0"/>
              <w:rPr>
                <w:sz w:val="12"/>
                <w:szCs w:val="12"/>
                <w:color w:val="auto"/>
              </w:rPr>
            </w:pPr>
          </w:p>
        </w:tc>
        <w:tc>
          <w:tcPr>
            <w:tcW w:w="480" w:type="dxa"/>
            <w:vAlign w:val="bottom"/>
          </w:tcPr>
          <w:p>
            <w:pPr>
              <w:jc w:val="right"/>
              <w:ind w:right="2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16,321,227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Unamortized discounts, net of premiums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(39,593)</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(66,906)</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top w:val="single" w:sz="8" w:color="CCEEFF"/>
              <w:bottom w:val="single" w:sz="8" w:color="CCEEFF"/>
            </w:tcBorders>
            <w:gridSpan w:val="10"/>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color w:val="auto"/>
              </w:rPr>
              <w:t>Total unsecured senior notes, net of discount and deferred financing costs</w:t>
            </w:r>
          </w:p>
        </w:tc>
        <w:tc>
          <w:tcPr>
            <w:tcW w:w="360" w:type="dxa"/>
            <w:vAlign w:val="bottom"/>
            <w:tcBorders>
              <w:top w:val="single" w:sz="8" w:color="auto"/>
              <w:bottom w:val="single" w:sz="8" w:color="auto"/>
            </w:tcBorders>
            <w:shd w:val="clear" w:color="auto" w:fill="CCEEFF"/>
          </w:tcPr>
          <w:p>
            <w:pPr>
              <w:jc w:val="right"/>
              <w:ind w:right="1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15,809,482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2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16,194,441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Subject to cross-currency swaps.</w:t>
      </w:r>
    </w:p>
    <w:p>
      <w:pPr>
        <w:spacing w:after="0" w:line="22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September 30, 2026, we were in compliance with each of these financial covenants.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Earnings per Common Share or Unit</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following is a summary of basic and diluted earnings per share (“EPS”) / earnings per unit (“EPU”) (in thousands, except per share/unit amounts):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Realty Trust, Inc. Earnings per Common Share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Numerator:</w:t>
            </w:r>
          </w:p>
        </w:tc>
        <w:tc>
          <w:tcPr>
            <w:tcW w:w="28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185,165</w:t>
            </w:r>
          </w:p>
        </w:tc>
        <w:tc>
          <w:tcPr>
            <w:tcW w:w="4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797,366</w:t>
            </w:r>
          </w:p>
        </w:tc>
        <w:tc>
          <w:tcPr>
            <w:tcW w:w="4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Loss attributable to redeemable noncontrolling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interest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(18,080)</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income available to common stockholders -</w:t>
            </w: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380" w:type="dxa"/>
            <w:vAlign w:val="bottom"/>
            <w:vMerge w:val="continue"/>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180,412</w:t>
            </w:r>
          </w:p>
        </w:tc>
        <w:tc>
          <w:tcPr>
            <w:tcW w:w="42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779,984</w:t>
            </w:r>
          </w:p>
        </w:tc>
        <w:tc>
          <w:tcPr>
            <w:tcW w:w="42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8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Denominator: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outstanding—basic</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372,193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341,370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357,208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338,565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Potentially dilutive common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Unvested incentive units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Unvested restricted stock</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 performance-based awards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Redeemable noncontrolling interest shares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outstanding—diluted</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379,799</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349,234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364,903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346,631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Income per share: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7"/>
              <w:spacing w:after="0" w:line="182"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7"/>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7"/>
              <w:spacing w:after="0" w:line="182"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80" w:type="dxa"/>
            <w:vAlign w:val="bottom"/>
            <w:tcBorders>
              <w:top w:val="single" w:sz="8" w:color="CCEEFF"/>
              <w:bottom w:val="single" w:sz="8" w:color="CCEEFF"/>
            </w:tcBorders>
            <w:shd w:val="clear" w:color="auto" w:fill="CCEEFF"/>
          </w:tcPr>
          <w:p>
            <w:pPr>
              <w:ind w:left="340"/>
              <w:spacing w:after="0" w:line="183" w:lineRule="exact"/>
              <w:rPr>
                <w:sz w:val="20"/>
                <w:szCs w:val="20"/>
                <w:color w:val="auto"/>
              </w:rPr>
            </w:pPr>
            <w:r>
              <w:rPr>
                <w:rFonts w:ascii="Times New Roman" w:cs="Times New Roman" w:eastAsia="Times New Roman" w:hAnsi="Times New Roman"/>
                <w:sz w:val="17"/>
                <w:szCs w:val="17"/>
                <w:color w:val="auto"/>
              </w:rPr>
              <w:t>Diluted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0.48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0.15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Realty Trust, L.P. Earnings per Unit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Numerator:</w:t>
            </w:r>
          </w:p>
        </w:tc>
        <w:tc>
          <w:tcPr>
            <w:tcW w:w="32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available to common unitholders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189,165</w:t>
            </w:r>
          </w:p>
        </w:tc>
        <w:tc>
          <w:tcPr>
            <w:tcW w:w="4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814,366</w:t>
            </w:r>
          </w:p>
        </w:tc>
        <w:tc>
          <w:tcPr>
            <w:tcW w:w="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Loss attributable to redeemable noncontrolling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interest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(18,080)</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income available to common unitholders -</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340" w:type="dxa"/>
            <w:vAlign w:val="bottom"/>
            <w:gridSpan w:val="2"/>
            <w:vMerge w:val="continue"/>
            <w:shd w:val="clear" w:color="auto" w:fill="CCEEFF"/>
          </w:tcPr>
          <w:p>
            <w:pPr>
              <w:spacing w:after="0"/>
              <w:rPr>
                <w:sz w:val="13"/>
                <w:szCs w:val="13"/>
                <w:color w:val="auto"/>
              </w:rPr>
            </w:pPr>
          </w:p>
        </w:tc>
        <w:tc>
          <w:tcPr>
            <w:tcW w:w="18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184,412</w:t>
            </w:r>
          </w:p>
        </w:tc>
        <w:tc>
          <w:tcPr>
            <w:tcW w:w="140" w:type="dxa"/>
            <w:vAlign w:val="bottom"/>
            <w:vMerge w:val="restart"/>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53,761</w:t>
            </w:r>
          </w:p>
        </w:tc>
        <w:tc>
          <w:tcPr>
            <w:tcW w:w="14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796,984</w:t>
            </w:r>
          </w:p>
        </w:tc>
        <w:tc>
          <w:tcPr>
            <w:tcW w:w="420" w:type="dxa"/>
            <w:vAlign w:val="bottom"/>
            <w:gridSpan w:val="2"/>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1,187,319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1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Denominator: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units outstanding—basic</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363,268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Potentially dilutive common units: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4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Unvested incentive units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Unvested restricted units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Market performance-based awards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40" w:type="dxa"/>
            <w:vAlign w:val="bottom"/>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Redeemable noncontrolling interest shares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units outstanding—diluted</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385,937</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355,165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370,963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Income per unit: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7"/>
              <w:spacing w:after="0" w:line="182"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ind w:right="17"/>
              <w:spacing w:after="0" w:line="182"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40" w:type="dxa"/>
            <w:vAlign w:val="bottom"/>
            <w:tcBorders>
              <w:top w:val="single" w:sz="8" w:color="CCEEFF"/>
              <w:bottom w:val="single" w:sz="8" w:color="CCEEFF"/>
            </w:tcBorders>
            <w:gridSpan w:val="2"/>
            <w:shd w:val="clear" w:color="auto" w:fill="CCEEFF"/>
          </w:tcPr>
          <w:p>
            <w:pPr>
              <w:ind w:left="340"/>
              <w:spacing w:after="0" w:line="183" w:lineRule="exact"/>
              <w:rPr>
                <w:sz w:val="20"/>
                <w:szCs w:val="20"/>
                <w:color w:val="auto"/>
              </w:rPr>
            </w:pPr>
            <w:r>
              <w:rPr>
                <w:rFonts w:ascii="Times New Roman" w:cs="Times New Roman" w:eastAsia="Times New Roman" w:hAnsi="Times New Roman"/>
                <w:sz w:val="17"/>
                <w:szCs w:val="17"/>
                <w:color w:val="auto"/>
              </w:rPr>
              <w:t>Diluted</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0.48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0.15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2.15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19" w:hanging="330"/>
        <w:spacing w:after="0" w:line="254"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acquisition of Teraco in 2022, certain of Teraco's minority indirect shareholders (“Rollover Shareholders”) have the right to put their shares in an upstream parent company of Teraco (“Remaining Interest”) to the Company in exchange for cash or the equivalent value of shares of the Company’s common stock, or a combination thereof.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Digital Realty Trust, Inc.’s average share price for the respective periods. The put right is exercisable by the Rollover Shareholders for a two-year period commencing on February 1, 2026.</w:t>
      </w:r>
    </w:p>
    <w:p>
      <w:pPr>
        <w:spacing w:after="0" w:line="19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table below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620" w:type="dxa"/>
            <w:vAlign w:val="bottom"/>
          </w:tcPr>
          <w:p>
            <w:pPr>
              <w:spacing w:after="0"/>
              <w:rPr>
                <w:sz w:val="15"/>
                <w:szCs w:val="15"/>
                <w:color w:val="auto"/>
              </w:rPr>
            </w:pPr>
          </w:p>
        </w:tc>
        <w:tc>
          <w:tcPr>
            <w:tcW w:w="2040" w:type="dxa"/>
            <w:vAlign w:val="bottom"/>
            <w:gridSpan w:val="3"/>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83"/>
        </w:trPr>
        <w:tc>
          <w:tcPr>
            <w:tcW w:w="4620" w:type="dxa"/>
            <w:vAlign w:val="bottom"/>
            <w:vMerge w:val="restart"/>
          </w:tcPr>
          <w:p>
            <w:pPr>
              <w:ind w:left="4480"/>
              <w:spacing w:after="0"/>
              <w:rPr>
                <w:sz w:val="20"/>
                <w:szCs w:val="20"/>
                <w:color w:val="auto"/>
              </w:rPr>
            </w:pPr>
            <w:r>
              <w:rPr>
                <w:rFonts w:ascii="Times New Roman" w:cs="Times New Roman" w:eastAsia="Times New Roman" w:hAnsi="Times New Roman"/>
                <w:sz w:val="15"/>
                <w:szCs w:val="15"/>
                <w:b w:val="1"/>
                <w:bCs w:val="1"/>
                <w:color w:val="auto"/>
              </w:rPr>
              <w:t>​​​</w:t>
            </w:r>
          </w:p>
        </w:tc>
        <w:tc>
          <w:tcPr>
            <w:tcW w:w="2040" w:type="dxa"/>
            <w:vAlign w:val="bottom"/>
            <w:tcBorders>
              <w:bottom w:val="single" w:sz="8" w:color="auto"/>
            </w:tcBorders>
            <w:gridSpan w:val="3"/>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55"/>
        </w:trPr>
        <w:tc>
          <w:tcPr>
            <w:tcW w:w="4620" w:type="dxa"/>
            <w:vAlign w:val="bottom"/>
            <w:vMerge w:val="continue"/>
          </w:tcPr>
          <w:p>
            <w:pPr>
              <w:spacing w:after="0"/>
              <w:rPr>
                <w:sz w:val="13"/>
                <w:szCs w:val="13"/>
                <w:color w:val="auto"/>
              </w:rPr>
            </w:pPr>
          </w:p>
        </w:tc>
        <w:tc>
          <w:tcPr>
            <w:tcW w:w="92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00" w:type="dxa"/>
            <w:vAlign w:val="bottom"/>
          </w:tcPr>
          <w:p>
            <w:pPr>
              <w:ind w:left="6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vMerge w:val="continue"/>
          </w:tcPr>
          <w:p>
            <w:pPr>
              <w:spacing w:after="0"/>
              <w:rPr>
                <w:sz w:val="13"/>
                <w:szCs w:val="13"/>
                <w:color w:val="auto"/>
              </w:rPr>
            </w:pPr>
          </w:p>
        </w:tc>
        <w:tc>
          <w:tcPr>
            <w:tcW w:w="92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55"/>
        </w:trPr>
        <w:tc>
          <w:tcPr>
            <w:tcW w:w="46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Exchangeable Notes</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6,624</w:t>
            </w:r>
          </w:p>
        </w:tc>
        <w:tc>
          <w:tcPr>
            <w:tcW w:w="2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6,624</w:t>
            </w:r>
          </w:p>
        </w:tc>
        <w:tc>
          <w:tcPr>
            <w:tcW w:w="2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6,624</w:t>
            </w:r>
          </w:p>
        </w:tc>
        <w:tc>
          <w:tcPr>
            <w:tcW w:w="2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6,624</w:t>
            </w:r>
          </w:p>
        </w:tc>
        <w:tc>
          <w:tcPr>
            <w:tcW w:w="0" w:type="dxa"/>
            <w:vAlign w:val="bottom"/>
          </w:tcPr>
          <w:p>
            <w:pPr>
              <w:spacing w:after="0"/>
              <w:rPr>
                <w:sz w:val="1"/>
                <w:szCs w:val="1"/>
                <w:color w:val="auto"/>
              </w:rPr>
            </w:pPr>
          </w:p>
        </w:tc>
      </w:tr>
      <w:tr>
        <w:trPr>
          <w:trHeight w:val="145"/>
        </w:trPr>
        <w:tc>
          <w:tcPr>
            <w:tcW w:w="4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Weighted average of Operating Partnership common units not owned</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by Digital Realty Trust, Inc.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6,138</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5,940</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Potentially dilutive Series J Cumulative Redeemable Preferred Stock</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1,117</w:t>
            </w: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1,108</w:t>
            </w: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1,230</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Potentially dilutive Series K Cumulative Redeemable Preferred Stock</w:t>
            </w: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1,237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1,166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Potentially dilutive Series L Cumulative Redeemable Preferred Stock</w:t>
            </w: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1,926</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2,029</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1,912</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2,122</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16,979</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16,998</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16,870</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17,210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Equity and Capital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4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7"/>
          <w:szCs w:val="17"/>
          <w:color w:val="auto"/>
        </w:rPr>
        <w:t>Digital Realty Trust, Inc. and Digital Realty Trust, L.P. were parties to an ATM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7"/>
          <w:szCs w:val="17"/>
          <w:color w:val="auto"/>
        </w:rPr>
        <w:t xml:space="preserve"> Sales Agreement dated December 23, 2024 (the “2024 Sales Agreement”). Pursuant to the 2024 Sales Agreement, Digital Realty Trust, Inc. could issue and sell common stock having an aggregate offering price of up to $3.0 billion through various named agents from time to time. From January 1, 2026 through May 3, 2026, Digital Realty Trust, Inc. generated net proceeds of approximately $1.3 billion from the issuance of approximately 7.3 million common shares under the 2024 Sales Agreement at an average price of $179.30 per share after payment of approximately $6.4 million of commissions to the agents.</w:t>
      </w:r>
    </w:p>
    <w:p>
      <w:pPr>
        <w:spacing w:after="0" w:line="170" w:lineRule="exact"/>
        <w:rPr>
          <w:sz w:val="20"/>
          <w:szCs w:val="20"/>
          <w:color w:val="auto"/>
        </w:rPr>
      </w:pPr>
    </w:p>
    <w:p>
      <w:pPr>
        <w:ind w:left="60" w:right="59"/>
        <w:spacing w:after="0" w:line="242" w:lineRule="auto"/>
        <w:rPr>
          <w:sz w:val="20"/>
          <w:szCs w:val="20"/>
          <w:color w:val="auto"/>
        </w:rPr>
      </w:pPr>
      <w:r>
        <w:rPr>
          <w:rFonts w:ascii="Times New Roman" w:cs="Times New Roman" w:eastAsia="Times New Roman" w:hAnsi="Times New Roman"/>
          <w:sz w:val="18"/>
          <w:szCs w:val="18"/>
          <w:color w:val="auto"/>
        </w:rPr>
        <w:t>On May 4, 2026, our Parent and our Operating Partnership entered into a new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“2026 Sales Agreement”), pursuant to which, Digital Realty Trust, Inc. can issue and sell common stock having an aggregate offering price of up to $7.5 billion through various named agents from time to time. The 2024 Sales Agreement was terminated in connection with entry into the 2026 Sales Agreement, and at the time of such termination, $569.9 million remained unsold under the 2024 Sales Agreement. From May 4, 2026 through September 30, 2026, Digital Realty Trust, Inc. generated net proceeds of approximately $1.6 billion from the issuance of approximately 8.6 million common shares under the 2026 Sales Agreement at an average price of $191.69 per share after payment of approximately $9.0 million of commissions to the agents. As of September 30, 2026, $5.9 billion remains available for future sales under the 2026 Sales Agreement.</w:t>
      </w:r>
    </w:p>
    <w:p>
      <w:pPr>
        <w:spacing w:after="0" w:line="19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sales of common stock made under the 2026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Redeemable Noncontrolling Interest (“Redeemable NCI”) — As part of the acquisition of Teraco, the Company and certain of its subsidiaries entered into a put/call agreement with the owners of the interest in Teraco that was not acquired by the Company (the “Put/Call Agreement”). The interest retained by these owners is hereafter referred to as the “Remaining Teraco Interest” and the owners of such interest are hereafter referred to as the “Rollover Shareholders”. Pursuant to the Put/Call Agreement, the Rollover Shareholders have the right to sell all or a portion of the Remaining Teraco Interest to the Company for a two-year period beginning on February 1, 2026, and the Company has the right to purchase all or a portion of the Remaining Teraco Interest from the Rollover Shareholders for a one-year period beginning on February 1, 2028. Per the terms of the agreement, the purchase price of the Remaining Teraco Interest for the put right and the call right can be settled by the Company with cash, shares in the Company, or a combination of cash and shares. In the event the Company elects to settle a put or call in whole or in part with shares of Digital Realty Trust, Inc.’s common stock, such shares will be issued in a private placement transaction with customary accompanying registration rights.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May 12, 2026 (“exercise date”), two Rollover Shareholders delivered their irrevocable notice to exercise their put option with respect to approximately 16% of the total outstanding equity of Teraco. As a result of this exercise, the Company’s ownership interest in Teraco will increase, once settled, from 61% to 77%. Per the terms of the agreement, this obligation will be settled subsequent to the reporting period via the issuance of 3,425,031 shares of the Company’s common stock. The final number of shares was determined based on the volume-weighted average price of the Company's stock over the 20 trading days prior to the exercise date. The put option exercise was settled in October 2026. Upon issuance of the common stock, redeemable noncontrolling interest will be extinguished and recorded as an increase to Common stock and Additional paid-in capital within permanent equity.</w:t>
      </w:r>
    </w:p>
    <w:p>
      <w:pPr>
        <w:spacing w:after="0" w:line="19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Since the Rollover Shareholders can redeem the put right at their discretion and such redemption, which could be in cash, is outside the Company’s control, the Company recorded the noncontrolling interest as Redeemable NCI and classified it in temporary equity within its consolidated balance sheets. The Redeemable NCI was initially recorded at its acquisition-date fair value and will be adjusted each reporting period for income (or loss) attributable to the noncontrolling interest ($17.4 million and $18.1 million net loss for the nine months ended September 30, 2026 and 2025, respectively). If the contractual redemption value of the Redeemable NCI is greater than its carrying value, an adjustment is made to reflect Redeemable NCI at the higher of its contractual redemption value or its carrying value each reporting period. Changes to the redemption value are recognized immediately in the period the change occurs. If the redemption value of the Redeemable NCI is equal to or less than the fair market value of the Remaining Teraco Interest, the change in the redemption value will be adjusted through Additional Paid in Capital. If the redemption value is greater than the fair market value of the Remaining Teraco Interest, the change in redemption value will be adjusted through Accumulated dividends in excess of earnings. These adjustments are not reflected on the Company’s condensed income statement but are instead reflected as adjustments to the net income component of the Company’s earnings per share calculations. When calculating earnings per share attributable to the Company, the Company adjusts net income attributable to Digital Realty Trust, Inc. to the extent the redemption value exceeds the fair value of the Redeemable NCI on a cumulative basis.</w:t>
      </w:r>
    </w:p>
    <w:p>
      <w:pPr>
        <w:spacing w:after="0" w:line="196"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we made an adjustment of approximately $94.4 million to Redeemable NCI as the contractual redemption value of the Redeemable NCI was greater than its carrying value. The change in the redemption value was adjusted through Additional Paid in Capital.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Operating Partnership</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Noncontrolling interests in the Operating Partnership relate to the proportion of entities consolidated by the Company that are owned by third parties. The following table shows the ownership interest in the Operating Partnership as of September 30, 2026 and December 31, 2025:</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4"/>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0"/>
                <w:szCs w:val="10"/>
                <w:color w:val="auto"/>
              </w:rPr>
            </w:pP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gridSpan w:val="2"/>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Realty Trust, Inc.</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374,888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343,557</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 consist of:</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units held by third parties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Incentive units held by employees and directors (see Note 13.</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''Incentive Plans'')</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381,537</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349,746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condensed consolidated balance sheets.</w:t>
      </w:r>
    </w:p>
    <w:p>
      <w:pPr>
        <w:spacing w:after="0" w:line="17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redemption value of the noncontrolling Operating Partnership common units and the vested incentive units was approximately $1,002.5 million and $952.5 million based on the closing market price of Digital Realty Trust, Inc. common stock on September 30, 2026 and December 31, 2025,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activity for noncontrolling interests in the Operating Partnership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(Units in thousands)</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Common Units</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 Incentive Units  ​​​</w:t>
            </w: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4,045</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6,189</w:t>
            </w:r>
          </w:p>
        </w:tc>
      </w:tr>
      <w:tr>
        <w:trPr>
          <w:trHeight w:val="175"/>
        </w:trPr>
        <w:tc>
          <w:tcPr>
            <w:tcW w:w="45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Redemption of common units for shares of Digital Realty Trust, Inc.</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4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common stock </w:t>
            </w:r>
            <w:r>
              <w:rPr>
                <w:rFonts w:ascii="Times New Roman" w:cs="Times New Roman" w:eastAsia="Times New Roman" w:hAnsi="Times New Roman"/>
                <w:sz w:val="24"/>
                <w:szCs w:val="24"/>
                <w:color w:val="auto"/>
                <w:vertAlign w:val="superscript"/>
              </w:rPr>
              <w:t>(1)</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tcPr>
          <w:p>
            <w:pPr>
              <w:spacing w:after="0"/>
              <w:rPr>
                <w:sz w:val="20"/>
                <w:szCs w:val="20"/>
                <w:color w:val="auto"/>
              </w:rPr>
            </w:pPr>
          </w:p>
        </w:tc>
        <w:tc>
          <w:tcPr>
            <w:tcW w:w="16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175"/>
        </w:trPr>
        <w:tc>
          <w:tcPr>
            <w:tcW w:w="45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Conversion of incentive units held by employees and directors for</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4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shares of Digital Realty Trust, Inc. common stock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8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Incentive units issued upon achievement of market performance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condition</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of incentive units to employees and directors</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18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Cancellation / forfeitures of incentive units held by employees and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directors</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units issued in connection with the Astra acquisition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19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2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2,355</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6,649</w:t>
            </w: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63" w:lineRule="exact"/>
        <w:rPr>
          <w:sz w:val="20"/>
          <w:szCs w:val="20"/>
          <w:color w:val="auto"/>
        </w:rPr>
      </w:pPr>
    </w:p>
    <w:p>
      <w:pPr>
        <w:ind w:left="380" w:right="399" w:hanging="330"/>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redemptions and conversions were recorded as a reduction to noncontrolling interests in the Operating Partnership and an increase to common stock and additional paid-in capital based on the book value per unit in the accompanying condensed consolidated balance sheets of Digital Realty Trust, Inc.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Digital Realty Trust, Inc. Dividends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declared and paid the following dividends on our common and preferred stock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(in thousands, except per share data):</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Series J</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Series 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Series L</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0" w:type="dxa"/>
            <w:vAlign w:val="bottom"/>
          </w:tcPr>
          <w:p>
            <w:pPr>
              <w:spacing w:after="0"/>
              <w:rPr>
                <w:sz w:val="11"/>
                <w:szCs w:val="11"/>
                <w:color w:val="auto"/>
              </w:rPr>
            </w:pPr>
          </w:p>
        </w:tc>
        <w:tc>
          <w:tcPr>
            <w:tcW w:w="96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r>
      <w:tr>
        <w:trPr>
          <w:trHeight w:val="15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dividend declared</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​​​Dividend payment date</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3"/>
                <w:szCs w:val="13"/>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Stock</w:t>
            </w:r>
          </w:p>
        </w:tc>
      </w:tr>
      <w:tr>
        <w:trPr>
          <w:trHeight w:val="129"/>
        </w:trPr>
        <w:tc>
          <w:tcPr>
            <w:tcW w:w="17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February 19, 2026</w:t>
            </w:r>
          </w:p>
        </w:tc>
        <w:tc>
          <w:tcPr>
            <w:tcW w:w="14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March 31, 2026</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425,047</w:t>
            </w: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May 12, 2026</w:t>
            </w:r>
          </w:p>
        </w:tc>
        <w:tc>
          <w:tcPr>
            <w:tcW w:w="140" w:type="dxa"/>
            <w:vAlign w:val="bottom"/>
          </w:tcPr>
          <w:p>
            <w:pPr>
              <w:spacing w:after="0"/>
              <w:rPr>
                <w:sz w:val="11"/>
                <w:szCs w:val="11"/>
                <w:color w:val="auto"/>
              </w:rPr>
            </w:pPr>
          </w:p>
        </w:tc>
        <w:tc>
          <w:tcPr>
            <w:tcW w:w="1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June 30, 2026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435,908</w:t>
            </w:r>
          </w:p>
        </w:tc>
      </w:tr>
      <w:tr>
        <w:trPr>
          <w:trHeight w:val="135"/>
        </w:trPr>
        <w:tc>
          <w:tcPr>
            <w:tcW w:w="1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August 11, 2026</w:t>
            </w: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September 30, 2026</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457,987</w:t>
            </w:r>
          </w:p>
        </w:tc>
      </w:tr>
      <w:tr>
        <w:trPr>
          <w:trHeight w:val="168"/>
        </w:trPr>
        <w:tc>
          <w:tcPr>
            <w:tcW w:w="17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7,875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9,213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13,455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1,318,942</w:t>
            </w:r>
          </w:p>
        </w:tc>
      </w:tr>
      <w:tr>
        <w:trPr>
          <w:trHeight w:val="115"/>
        </w:trPr>
        <w:tc>
          <w:tcPr>
            <w:tcW w:w="1740" w:type="dxa"/>
            <w:vAlign w:val="bottom"/>
            <w:tcBorders>
              <w:bottom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w w:val="97"/>
              </w:rPr>
              <w:t>Annual rate of dividend per share</w:t>
            </w:r>
          </w:p>
        </w:tc>
        <w:tc>
          <w:tcPr>
            <w:tcW w:w="1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1.31250</w:t>
            </w: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1.46250</w:t>
            </w: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1.30000</w:t>
            </w: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4.88000</w:t>
            </w: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For U.S. federal income tax purposes, distributions out of Digital Realty Trust, Inc.’s current or accumulated earnings and profits are generally classified as dividends whereas distributions in excess of its current and accumulated earnings and profits, to the extent of a stockholder’s tax basis in Digital Realty Trust, Inc.’s stock, are generally classified as a return of capital. Such distributions in excess of a stockholder’s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Digital Realty Trust, L.P. Distributions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All distributions on the Operating Partnership’s units are at the discretion of Digital Realty Trust, Inc.’s Board of Directors. The table below shows the distributions declared and paid by the Operating Partnership on its common and preferred units for the nine months ended September 30, 2026 (in thousands, except for per unit data):</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Series J</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Series K</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Series L</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0" w:type="dxa"/>
            <w:vAlign w:val="bottom"/>
          </w:tcPr>
          <w:p>
            <w:pPr>
              <w:spacing w:after="0"/>
              <w:rPr>
                <w:sz w:val="11"/>
                <w:szCs w:val="11"/>
                <w:color w:val="auto"/>
              </w:rPr>
            </w:pPr>
          </w:p>
        </w:tc>
        <w:tc>
          <w:tcPr>
            <w:tcW w:w="94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r>
      <w:tr>
        <w:trPr>
          <w:trHeight w:val="155"/>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distribution declared</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​​​Distribution payment date</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8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200" w:type="dxa"/>
            <w:vAlign w:val="bottom"/>
          </w:tcPr>
          <w:p>
            <w:pPr>
              <w:spacing w:after="0"/>
              <w:rPr>
                <w:sz w:val="13"/>
                <w:szCs w:val="13"/>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Units</w:t>
            </w:r>
          </w:p>
        </w:tc>
      </w:tr>
      <w:tr>
        <w:trPr>
          <w:trHeight w:val="128"/>
        </w:trPr>
        <w:tc>
          <w:tcPr>
            <w:tcW w:w="18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February 19, 2026</w:t>
            </w:r>
          </w:p>
        </w:tc>
        <w:tc>
          <w:tcPr>
            <w:tcW w:w="1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March 31, 2026</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432,840</w:t>
            </w:r>
          </w:p>
        </w:tc>
      </w:tr>
      <w:tr>
        <w:trPr>
          <w:trHeight w:val="135"/>
        </w:trPr>
        <w:tc>
          <w:tcPr>
            <w:tcW w:w="1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May 12, 2026</w:t>
            </w:r>
          </w:p>
        </w:tc>
        <w:tc>
          <w:tcPr>
            <w:tcW w:w="14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June 30, 2026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444,195</w:t>
            </w:r>
          </w:p>
        </w:tc>
      </w:tr>
      <w:tr>
        <w:trPr>
          <w:trHeight w:val="135"/>
        </w:trPr>
        <w:tc>
          <w:tcPr>
            <w:tcW w:w="18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August 11, 2026</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September 30, 2026</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2,625</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3,071</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4,485</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466,211</w:t>
            </w:r>
          </w:p>
        </w:tc>
      </w:tr>
      <w:tr>
        <w:trPr>
          <w:trHeight w:val="168"/>
        </w:trPr>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7,875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9,213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13,455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1,343,246</w:t>
            </w:r>
          </w:p>
        </w:tc>
      </w:tr>
      <w:tr>
        <w:trPr>
          <w:trHeight w:val="116"/>
        </w:trPr>
        <w:tc>
          <w:tcPr>
            <w:tcW w:w="1820" w:type="dxa"/>
            <w:vAlign w:val="bottom"/>
            <w:tcBorders>
              <w:bottom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w w:val="97"/>
              </w:rPr>
              <w:t>Annual rate of distribution per unit</w:t>
            </w:r>
          </w:p>
        </w:tc>
        <w:tc>
          <w:tcPr>
            <w:tcW w:w="14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1.31250</w:t>
            </w: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1.46250</w:t>
            </w: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1.30000</w:t>
            </w: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4.88000</w:t>
            </w:r>
          </w:p>
        </w:tc>
      </w:tr>
      <w:tr>
        <w:trPr>
          <w:trHeight w:val="20"/>
        </w:trPr>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 Net</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accumulated balances for each item within accumulated other comprehensive income (loss) are shown below (in thousands) for Digital Realty Trust, Inc. and separately for Digital Realty Trust, 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derivatives,</w:t>
            </w:r>
          </w:p>
        </w:tc>
        <w:tc>
          <w:tcPr>
            <w:tcW w:w="40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gridSpan w:val="2"/>
            <w:vMerge w:val="continue"/>
          </w:tcPr>
          <w:p>
            <w:pPr>
              <w:spacing w:after="0"/>
              <w:rPr>
                <w:sz w:val="15"/>
                <w:szCs w:val="15"/>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of reclassification</w:t>
            </w:r>
          </w:p>
        </w:tc>
        <w:tc>
          <w:tcPr>
            <w:tcW w:w="400" w:type="dxa"/>
            <w:vAlign w:val="bottom"/>
            <w:gridSpan w:val="2"/>
            <w:vMerge w:val="continue"/>
          </w:tcPr>
          <w:p>
            <w:pPr>
              <w:spacing w:after="0"/>
              <w:rPr>
                <w:sz w:val="15"/>
                <w:szCs w:val="15"/>
                <w:color w:val="auto"/>
              </w:rPr>
            </w:pPr>
          </w:p>
        </w:tc>
        <w:tc>
          <w:tcPr>
            <w:tcW w:w="1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income (loss), net</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(492,674)</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23,476</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(469,198)</w:t>
            </w:r>
          </w:p>
        </w:tc>
        <w:tc>
          <w:tcPr>
            <w:tcW w:w="0" w:type="dxa"/>
            <w:vAlign w:val="bottom"/>
          </w:tcPr>
          <w:p>
            <w:pPr>
              <w:spacing w:after="0"/>
              <w:rPr>
                <w:sz w:val="1"/>
                <w:szCs w:val="1"/>
                <w:color w:val="auto"/>
              </w:rPr>
            </w:pPr>
          </w:p>
        </w:tc>
      </w:tr>
      <w:tr>
        <w:trPr>
          <w:trHeight w:val="148"/>
        </w:trPr>
        <w:tc>
          <w:tcPr>
            <w:tcW w:w="3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current period change</w:t>
            </w:r>
          </w:p>
        </w:tc>
        <w:tc>
          <w:tcPr>
            <w:tcW w:w="200" w:type="dxa"/>
            <w:vAlign w:val="bottom"/>
          </w:tcPr>
          <w:p>
            <w:pPr>
              <w:spacing w:after="0"/>
              <w:rPr>
                <w:sz w:val="12"/>
                <w:szCs w:val="12"/>
                <w:color w:val="auto"/>
              </w:rPr>
            </w:pPr>
          </w:p>
        </w:tc>
        <w:tc>
          <w:tcPr>
            <w:tcW w:w="1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(63,327)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(19,210)</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(556,001)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67,593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(488,408)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9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derivatives,</w:t>
            </w:r>
          </w:p>
        </w:tc>
        <w:tc>
          <w:tcPr>
            <w:tcW w:w="40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gridSpan w:val="2"/>
            <w:vMerge w:val="continue"/>
          </w:tcPr>
          <w:p>
            <w:pPr>
              <w:spacing w:after="0"/>
              <w:rPr>
                <w:sz w:val="15"/>
                <w:szCs w:val="15"/>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of reclassification</w:t>
            </w:r>
          </w:p>
        </w:tc>
        <w:tc>
          <w:tcPr>
            <w:tcW w:w="400" w:type="dxa"/>
            <w:vAlign w:val="bottom"/>
            <w:gridSpan w:val="2"/>
            <w:vMerge w:val="continue"/>
          </w:tcPr>
          <w:p>
            <w:pPr>
              <w:spacing w:after="0"/>
              <w:rPr>
                <w:sz w:val="15"/>
                <w:szCs w:val="15"/>
                <w:color w:val="auto"/>
              </w:rPr>
            </w:pPr>
          </w:p>
        </w:tc>
        <w:tc>
          <w:tcPr>
            <w:tcW w:w="1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(507,813)</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22,471</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(485,342)</w:t>
            </w: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current period change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(64,589)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(19,604)</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(572,402)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67,456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(504,946)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13. Incentive Plans</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provides incentive awards in the form of common stock or awards convertible into common stock pursuant to the Digital Realty Trust, Inc., Digital Services, Inc. and Digital Realty Trust, L.P. 2014 Incentive Award Plan, as amended.</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the Talent and Compensation Committee of our Board of Directors granted an aggregate of 18,301 service-based restricted stock units covering shares of Digital Realty Trust, Inc. common stock and long-term incentive units of the Operating Partnership to certain employees, including executive officers. These awards are subject to vesting provisions and have a weighted-average grant date fair value of $185.59 per share and a weighted-average requisite service period of 2 years. The awards are subject to either (i) a service-vesting condition (the “service awards”) or (ii) both service- and performance-vesting conditions (the “performance awards”). The service awards generally vest over periods between two and four years. The performance awards generally vest based on continued service and either a financial performance condition (“Financial-Based Performance Awards”) or a market performance condition (“Market-Based Performance Awards”).</w:t>
      </w:r>
    </w:p>
    <w:p>
      <w:pPr>
        <w:spacing w:after="0" w:line="18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valuation of service awards and Financial-Based Performance Awards is based solely on the fair value of our stock price on the date of grant. We use growth in core funds from operations per share as the performance measurement in the Financial-Based Performance Awards that were granted in the nine months ended September 30, 2026. For the nine months ended September 30, 2026, the grant date fair value of these awards was $14.5 million.</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use a Monte Carlo simulation option-pricing model to determine the fair value of our Market-Based Performance Awards. We used total shareholder return as the market measurement for these awards that were granted in the nine months ended September 30, 2026. For the nine months ended September 30, 2026, the grant date fair value of these awards was $14.5 million.</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assumptions used to determine the fair value of service awards and performance awards that were granted in 2026 compared to the prior year.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Derivative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In September 2022 and November 2024, we entered into cross-currency interest rate swaps, which effectively convert a portion of our U.S. dollar-denominated fixed-rate debt to foreign currency-denominated fixed-rate debt in order to hedge the currency exposure associated with our net investment in foreign subsidiaries. As of September 30, 2026 and December 31, 2025, we had cross-currency interest rate swaps outstanding with notional amounts of $2.2 billion and maturity dates ranging through 2029.</w:t>
      </w:r>
    </w:p>
    <w:p>
      <w:pPr>
        <w:spacing w:after="0" w:line="183" w:lineRule="exact"/>
        <w:rPr>
          <w:sz w:val="20"/>
          <w:szCs w:val="20"/>
          <w:color w:val="auto"/>
        </w:rPr>
      </w:pPr>
    </w:p>
    <w:p>
      <w:pPr>
        <w:jc w:val="both"/>
        <w:ind w:left="60" w:right="579"/>
        <w:spacing w:after="0" w:line="312" w:lineRule="auto"/>
        <w:rPr>
          <w:sz w:val="20"/>
          <w:szCs w:val="20"/>
          <w:color w:val="auto"/>
        </w:rPr>
      </w:pPr>
      <w:r>
        <w:rPr>
          <w:rFonts w:ascii="Times New Roman" w:cs="Times New Roman" w:eastAsia="Times New Roman" w:hAnsi="Times New Roman"/>
          <w:sz w:val="17"/>
          <w:szCs w:val="17"/>
          <w:color w:val="auto"/>
        </w:rPr>
        <w:t>The effect of these net investment hedges on accumulated other comprehensive loss and the condensed consolidated income statements for the three and nine months ended September 30, 2026 and 2025 was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3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55"/>
        </w:trPr>
        <w:tc>
          <w:tcPr>
            <w:tcW w:w="372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(included component)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72,374</w:t>
            </w: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(255,559)</w:t>
            </w:r>
          </w:p>
        </w:tc>
      </w:tr>
      <w:tr>
        <w:trPr>
          <w:trHeight w:val="175"/>
        </w:trPr>
        <w:tc>
          <w:tcPr>
            <w:tcW w:w="3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(excluded component)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(11,223)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43,436</w:t>
            </w:r>
          </w:p>
        </w:tc>
      </w:tr>
      <w:tr>
        <w:trPr>
          <w:trHeight w:val="196"/>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(212,123)</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268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or (loss)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55"/>
        </w:trPr>
        <w:tc>
          <w:tcPr>
            <w:tcW w:w="24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1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17"/>
        </w:trPr>
        <w:tc>
          <w:tcPr>
            <w:tcW w:w="2420" w:type="dxa"/>
            <w:vAlign w:val="bottom"/>
            <w:gridSpan w:val="2"/>
            <w:shd w:val="clear" w:color="auto" w:fill="CCEEFF"/>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(excluded component) </w:t>
            </w:r>
            <w:r>
              <w:rPr>
                <w:rFonts w:ascii="Times New Roman" w:cs="Times New Roman" w:eastAsia="Times New Roman" w:hAnsi="Times New Roman"/>
                <w:sz w:val="24"/>
                <w:szCs w:val="24"/>
                <w:color w:val="auto"/>
                <w:vertAlign w:val="superscript"/>
              </w:rPr>
              <w:t>(2)</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6,805</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20,495</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20,260</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63"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component represents foreign exchange spot rates.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component represents cross-currency basis spread and interest rates.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Amounts reported in Accumulated other comprehensive loss related to interest rate swaps are reclassified to interest expense as interest payments are made on our debt. As of September 30, 2026, we estimate that an additional $0.1 million will be reclassified as a decrease to interest expense during the twelve months ended September 30, 2027, when the hedged forecasted transactions impact earnings.</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effect of these cash flow hedges on accumulated other comprehensive income and the condensed consolidated income statements for the three and nine months ended September 30, 2026 and 2025 was as follows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w:t>
            </w:r>
          </w:p>
        </w:tc>
      </w:tr>
      <w:tr>
        <w:trPr>
          <w:trHeight w:val="20"/>
        </w:trPr>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393"/>
        </w:trPr>
        <w:tc>
          <w:tcPr>
            <w:tcW w:w="24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24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or (loss)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0"/>
        </w:trPr>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Derivative Instruments</w:t>
      </w:r>
    </w:p>
    <w:p>
      <w:pPr>
        <w:spacing w:after="0" w:line="281"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subsequent table presents the fair value of derivative instruments recognized in our condensed consolidated balance sheets as of September 30, 2026 and December 31,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Assets </w:t>
            </w:r>
            <w:r>
              <w:rPr>
                <w:rFonts w:ascii="Times New Roman" w:cs="Times New Roman" w:eastAsia="Times New Roman" w:hAnsi="Times New Roman"/>
                <w:sz w:val="24"/>
                <w:szCs w:val="24"/>
                <w:b w:val="1"/>
                <w:bCs w:val="1"/>
                <w:color w:val="auto"/>
                <w:vertAlign w:val="superscript"/>
              </w:rPr>
              <w:t>(1)</w:t>
            </w:r>
          </w:p>
        </w:tc>
        <w:tc>
          <w:tcPr>
            <w:tcW w:w="140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 Liabilities </w:t>
            </w:r>
            <w:r>
              <w:rPr>
                <w:rFonts w:ascii="Times New Roman" w:cs="Times New Roman" w:eastAsia="Times New Roman" w:hAnsi="Times New Roman"/>
                <w:sz w:val="24"/>
                <w:szCs w:val="24"/>
                <w:b w:val="1"/>
                <w:bCs w:val="1"/>
                <w:color w:val="auto"/>
                <w:vertAlign w:val="superscript"/>
              </w:rPr>
              <w:t>(2)</w:t>
            </w:r>
          </w:p>
        </w:tc>
        <w:tc>
          <w:tcPr>
            <w:tcW w:w="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1"/>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Assets </w:t>
            </w:r>
            <w:r>
              <w:rPr>
                <w:rFonts w:ascii="Times New Roman" w:cs="Times New Roman" w:eastAsia="Times New Roman" w:hAnsi="Times New Roman"/>
                <w:sz w:val="24"/>
                <w:szCs w:val="24"/>
                <w:b w:val="1"/>
                <w:bCs w:val="1"/>
                <w:color w:val="auto"/>
                <w:vertAlign w:val="superscript"/>
              </w:rPr>
              <w:t>(1)</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Liabilities </w:t>
            </w:r>
            <w:r>
              <w:rPr>
                <w:rFonts w:ascii="Times New Roman" w:cs="Times New Roman" w:eastAsia="Times New Roman" w:hAnsi="Times New Roman"/>
                <w:sz w:val="24"/>
                <w:szCs w:val="24"/>
                <w:b w:val="1"/>
                <w:bCs w:val="1"/>
                <w:color w:val="auto"/>
                <w:vertAlign w:val="superscript"/>
              </w:rPr>
              <w:t>(2)</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262,543</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34,191</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204,734</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our condensed consolidated balance sheets within Other assets.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our condensed consolidated balance sheets within Accounts payable and other accrued liabilities.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Fair Value</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policy for fair value measurements from what was disclosed in our 2025 Form 10-K.</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The carrying value of our Global Revolving Credit Facilities and the Euro Term Loan Facility approximates the estimated fair value, because these liabilities have variable interest rates and our credit ratings have remained stable. Differences between the carrying value and the fair value of our unsecured senior notes and secured and other debt are caused by differences in interest rates or borrowing spreads that were available to us on September 30, 2026 and December 31, 2025 as compared to those in effect when the debt was issued or assumed. As described in Note 14. "Derivative Instruments", outstanding derivative contracts are recorded at fair value.</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aggregate estimated fair value and carrying value of our Global Revolving Credit Facilities, Euro Term Loan Facility, unsecured senior notes and secured and other debt as of the respective periods are shown below (in thousands):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under the fair value</w:t>
            </w:r>
          </w:p>
        </w:tc>
        <w:tc>
          <w:tcPr>
            <w:tcW w:w="3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3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3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320" w:type="dxa"/>
            <w:vAlign w:val="bottom"/>
            <w:gridSpan w:val="2"/>
            <w:vMerge w:val="continue"/>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gridSpan w:val="2"/>
            <w:vMerge w:val="continue"/>
          </w:tcPr>
          <w:p>
            <w:pPr>
              <w:spacing w:after="0"/>
              <w:rPr>
                <w:sz w:val="15"/>
                <w:szCs w:val="15"/>
                <w:color w:val="auto"/>
              </w:rPr>
            </w:pP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gridSpan w:val="2"/>
            <w:vMerge w:val="continue"/>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gridSpan w:val="2"/>
            <w:vMerge w:val="continue"/>
          </w:tcPr>
          <w:p>
            <w:pPr>
              <w:spacing w:after="0"/>
              <w:rPr>
                <w:sz w:val="15"/>
                <w:szCs w:val="15"/>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Global Revolving</w:t>
            </w: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Credit Facilities </w:t>
            </w:r>
            <w:r>
              <w:rPr>
                <w:rFonts w:ascii="Times New Roman" w:cs="Times New Roman" w:eastAsia="Times New Roman" w:hAnsi="Times New Roman"/>
                <w:sz w:val="24"/>
                <w:szCs w:val="24"/>
                <w:color w:val="auto"/>
                <w:vertAlign w:val="superscript"/>
              </w:rPr>
              <w:t>(1)</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918,540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918,540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Unsecured term</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4"/>
                <w:szCs w:val="24"/>
                <w:color w:val="auto"/>
                <w:vertAlign w:val="superscript"/>
              </w:rPr>
              <w:t>(1)</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Unsecured senior</w:t>
            </w: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notes </w:t>
            </w:r>
            <w:r>
              <w:rPr>
                <w:rFonts w:ascii="Times New Roman" w:cs="Times New Roman" w:eastAsia="Times New Roman" w:hAnsi="Times New Roman"/>
                <w:sz w:val="24"/>
                <w:szCs w:val="24"/>
                <w:color w:val="auto"/>
                <w:vertAlign w:val="superscript"/>
              </w:rPr>
              <w:t>(2)</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14,835,140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15,915,981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15,646,232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16,321,227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Secured and other</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debt </w:t>
            </w:r>
            <w:r>
              <w:rPr>
                <w:rFonts w:ascii="Times New Roman" w:cs="Times New Roman" w:eastAsia="Times New Roman" w:hAnsi="Times New Roman"/>
                <w:sz w:val="24"/>
                <w:szCs w:val="24"/>
                <w:color w:val="auto"/>
                <w:vertAlign w:val="superscript"/>
              </w:rPr>
              <w:t>(2)</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1,622,549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873,504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18,535,666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19,618,975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17,878,751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18,556,770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5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our Global Revolving Credit Facilities and unsecured term loans approximates estimated fair value, due to the variability of interest rates and the stability of our credit ratings.</w:t>
      </w:r>
    </w:p>
    <w:p>
      <w:pPr>
        <w:ind w:left="380" w:right="459" w:hanging="330"/>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for our unsecured senior notes and secured and other debt are determined based on the expected future payments discounted at risk-adjusted rates and quoted market prices.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properties require periodic investments of capital for tenant-related capital expenditures and for general capital improvements and from time to time in the normal course of our business, we enter into various construction contracts with third parties that may obligate us to make payments. At September 30, 2026, we had open commitments, including amounts reimbursable by customers of approximately $314.0 million, related to construction contracts of approximately $4.1 billion.</w:t>
      </w:r>
    </w:p>
    <w:p>
      <w:pPr>
        <w:spacing w:after="0" w:line="18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 Although the Company is involved in legal proceedings arising in the ordinary course of business,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September 30, 2026, the Company is not currently a party to any legal proceedings nor, to its knowledge, is any legal proceeding threatened against it that it believes would have a material adverse effect on its financial position, results of operations or liquidity.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Supplemental Cash Flow Information</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cash equivalents, and restricted cash balances as of September 30, 2026, and December 31, 2025:</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3,451,647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806,351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079"/>
        <w:spacing w:after="0" w:line="282" w:lineRule="auto"/>
        <w:rPr>
          <w:sz w:val="20"/>
          <w:szCs w:val="20"/>
          <w:color w:val="auto"/>
        </w:rPr>
      </w:pPr>
      <w:r>
        <w:rPr>
          <w:rFonts w:ascii="Times New Roman" w:cs="Times New Roman" w:eastAsia="Times New Roman" w:hAnsi="Times New Roman"/>
          <w:sz w:val="18"/>
          <w:szCs w:val="18"/>
          <w:color w:val="auto"/>
        </w:rPr>
        <w:t>We paid $310.6 million and $316.0 million for interest, net of amounts capitalized, for the nine months ended September 30, 2026 and 2025, respectively.</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paid $80.2 million and $93.6 million for income taxes, net of refunds, for the nine months ended September 30, 2026 and 2025,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construction related costs totaled $992.1 million and $567.2 million as of September 30, 2026 and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Segment and Geographic Information</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globally in order to achieve consistent sales and delivery experience of our products for our customers throughout the global portfolio. The Company has reiterated its commitment to and implemented strategies to align itself as one global team to help power customers’ digital ambitions.</w:t>
      </w:r>
    </w:p>
    <w:p>
      <w:pPr>
        <w:spacing w:after="0" w:line="187"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In order to best accommodate the needs of global customers (and customers that might one day become global), the Company manages its operations as a single global business – with one operating segment and therefore one reporting segment.</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uses net income as a primary measure of operating results on a consolidated basis in making decisions. Net income is computed in accordance with U.S. GAAP. Significant expense categories, including Rental property operating and maintenance, Property taxes and insurance, General and administrative and Interest expense, are regularly provided to the Company’s CODM as components of net income, which are reflected on the condensed consolidated income statements.</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financial information disclosed herein represents all of the financial information related to our one reportable segment, and the segmental presentation is consistent with the information provided to our CODM. These metrics are collectively used to evaluate the performance of the Company’s investments in real estate assets, its operating results and to allocate resources.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7"/>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6"/>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2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2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4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Inside the United States</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6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ind w:right="207"/>
              <w:spacing w:after="0" w:line="142" w:lineRule="exact"/>
              <w:rPr>
                <w:sz w:val="20"/>
                <w:szCs w:val="20"/>
                <w:color w:val="auto"/>
              </w:rPr>
            </w:pPr>
            <w:r>
              <w:rPr>
                <w:rFonts w:ascii="Times New Roman" w:cs="Times New Roman" w:eastAsia="Times New Roman" w:hAnsi="Times New Roman"/>
                <w:sz w:val="14"/>
                <w:szCs w:val="14"/>
                <w:color w:val="auto"/>
              </w:rPr>
              <w:t>1,032.2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207"/>
              <w:spacing w:after="0" w:line="142" w:lineRule="exact"/>
              <w:rPr>
                <w:sz w:val="20"/>
                <w:szCs w:val="20"/>
                <w:color w:val="auto"/>
              </w:rPr>
            </w:pPr>
            <w:r>
              <w:rPr>
                <w:rFonts w:ascii="Times New Roman" w:cs="Times New Roman" w:eastAsia="Times New Roman" w:hAnsi="Times New Roman"/>
                <w:sz w:val="14"/>
                <w:szCs w:val="14"/>
                <w:color w:val="auto"/>
              </w:rPr>
              <w:t>804.7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207"/>
              <w:spacing w:after="0" w:line="142" w:lineRule="exact"/>
              <w:rPr>
                <w:sz w:val="20"/>
                <w:szCs w:val="20"/>
                <w:color w:val="auto"/>
              </w:rPr>
            </w:pPr>
            <w:r>
              <w:rPr>
                <w:rFonts w:ascii="Times New Roman" w:cs="Times New Roman" w:eastAsia="Times New Roman" w:hAnsi="Times New Roman"/>
                <w:sz w:val="14"/>
                <w:szCs w:val="14"/>
                <w:color w:val="auto"/>
              </w:rPr>
              <w:t>2,963.0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07"/>
              <w:spacing w:after="0" w:line="142" w:lineRule="exact"/>
              <w:rPr>
                <w:sz w:val="20"/>
                <w:szCs w:val="20"/>
                <w:color w:val="auto"/>
              </w:rPr>
            </w:pPr>
            <w:r>
              <w:rPr>
                <w:rFonts w:ascii="Times New Roman" w:cs="Times New Roman" w:eastAsia="Times New Roman" w:hAnsi="Times New Roman"/>
                <w:sz w:val="14"/>
                <w:szCs w:val="14"/>
                <w:color w:val="auto"/>
              </w:rPr>
              <w:t>2,347.0</w:t>
            </w:r>
          </w:p>
        </w:tc>
        <w:tc>
          <w:tcPr>
            <w:tcW w:w="0" w:type="dxa"/>
            <w:vAlign w:val="bottom"/>
          </w:tcPr>
          <w:p>
            <w:pPr>
              <w:spacing w:after="0"/>
              <w:rPr>
                <w:sz w:val="1"/>
                <w:szCs w:val="1"/>
                <w:color w:val="auto"/>
              </w:rPr>
            </w:pPr>
          </w:p>
        </w:tc>
      </w:tr>
      <w:tr>
        <w:trPr>
          <w:trHeight w:val="148"/>
        </w:trPr>
        <w:tc>
          <w:tcPr>
            <w:tcW w:w="2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Outside the United States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207"/>
              <w:spacing w:after="0" w:line="149" w:lineRule="exact"/>
              <w:rPr>
                <w:sz w:val="20"/>
                <w:szCs w:val="20"/>
                <w:color w:val="auto"/>
              </w:rPr>
            </w:pPr>
            <w:r>
              <w:rPr>
                <w:rFonts w:ascii="Times New Roman" w:cs="Times New Roman" w:eastAsia="Times New Roman" w:hAnsi="Times New Roman"/>
                <w:sz w:val="14"/>
                <w:szCs w:val="14"/>
                <w:color w:val="auto"/>
              </w:rPr>
              <w:t>870.2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07"/>
              <w:spacing w:after="0" w:line="149" w:lineRule="exact"/>
              <w:rPr>
                <w:sz w:val="20"/>
                <w:szCs w:val="20"/>
                <w:color w:val="auto"/>
              </w:rPr>
            </w:pPr>
            <w:r>
              <w:rPr>
                <w:rFonts w:ascii="Times New Roman" w:cs="Times New Roman" w:eastAsia="Times New Roman" w:hAnsi="Times New Roman"/>
                <w:sz w:val="14"/>
                <w:szCs w:val="14"/>
                <w:color w:val="auto"/>
              </w:rPr>
              <w:t>772.5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07"/>
              <w:spacing w:after="0" w:line="149" w:lineRule="exact"/>
              <w:rPr>
                <w:sz w:val="20"/>
                <w:szCs w:val="20"/>
                <w:color w:val="auto"/>
              </w:rPr>
            </w:pPr>
            <w:r>
              <w:rPr>
                <w:rFonts w:ascii="Times New Roman" w:cs="Times New Roman" w:eastAsia="Times New Roman" w:hAnsi="Times New Roman"/>
                <w:sz w:val="14"/>
                <w:szCs w:val="14"/>
                <w:color w:val="auto"/>
              </w:rPr>
              <w:t>2,498.6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07"/>
              <w:spacing w:after="0" w:line="149" w:lineRule="exact"/>
              <w:rPr>
                <w:sz w:val="20"/>
                <w:szCs w:val="20"/>
                <w:color w:val="auto"/>
              </w:rPr>
            </w:pPr>
            <w:r>
              <w:rPr>
                <w:rFonts w:ascii="Times New Roman" w:cs="Times New Roman" w:eastAsia="Times New Roman" w:hAnsi="Times New Roman"/>
                <w:sz w:val="14"/>
                <w:szCs w:val="14"/>
                <w:color w:val="auto"/>
              </w:rPr>
              <w:t>2,131.0</w:t>
            </w:r>
          </w:p>
        </w:tc>
        <w:tc>
          <w:tcPr>
            <w:tcW w:w="0" w:type="dxa"/>
            <w:vAlign w:val="bottom"/>
          </w:tcPr>
          <w:p>
            <w:pPr>
              <w:spacing w:after="0"/>
              <w:rPr>
                <w:sz w:val="1"/>
                <w:szCs w:val="1"/>
                <w:color w:val="auto"/>
              </w:rPr>
            </w:pPr>
          </w:p>
        </w:tc>
      </w:tr>
      <w:tr>
        <w:trPr>
          <w:trHeight w:val="149"/>
        </w:trPr>
        <w:tc>
          <w:tcPr>
            <w:tcW w:w="25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 Outside of U.S.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7"/>
              <w:spacing w:after="0" w:line="149" w:lineRule="exact"/>
              <w:rPr>
                <w:sz w:val="20"/>
                <w:szCs w:val="20"/>
                <w:color w:val="auto"/>
              </w:rPr>
            </w:pPr>
            <w:r>
              <w:rPr>
                <w:rFonts w:ascii="Times New Roman" w:cs="Times New Roman" w:eastAsia="Times New Roman" w:hAnsi="Times New Roman"/>
                <w:sz w:val="14"/>
                <w:szCs w:val="14"/>
                <w:color w:val="auto"/>
              </w:rPr>
              <w:t>45.7 %</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7"/>
              <w:spacing w:after="0" w:line="149" w:lineRule="exact"/>
              <w:rPr>
                <w:sz w:val="20"/>
                <w:szCs w:val="20"/>
                <w:color w:val="auto"/>
              </w:rPr>
            </w:pPr>
            <w:r>
              <w:rPr>
                <w:rFonts w:ascii="Times New Roman" w:cs="Times New Roman" w:eastAsia="Times New Roman" w:hAnsi="Times New Roman"/>
                <w:sz w:val="14"/>
                <w:szCs w:val="14"/>
                <w:color w:val="auto"/>
              </w:rPr>
              <w:t>49.0 %</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7"/>
              <w:spacing w:after="0" w:line="149" w:lineRule="exact"/>
              <w:rPr>
                <w:sz w:val="20"/>
                <w:szCs w:val="20"/>
                <w:color w:val="auto"/>
              </w:rPr>
            </w:pPr>
            <w:r>
              <w:rPr>
                <w:rFonts w:ascii="Times New Roman" w:cs="Times New Roman" w:eastAsia="Times New Roman" w:hAnsi="Times New Roman"/>
                <w:sz w:val="14"/>
                <w:szCs w:val="14"/>
                <w:color w:val="auto"/>
              </w:rPr>
              <w:t>45.7 %</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7"/>
              <w:spacing w:after="0" w:line="149" w:lineRule="exact"/>
              <w:rPr>
                <w:sz w:val="20"/>
                <w:szCs w:val="20"/>
                <w:color w:val="auto"/>
              </w:rPr>
            </w:pPr>
            <w:r>
              <w:rPr>
                <w:rFonts w:ascii="Times New Roman" w:cs="Times New Roman" w:eastAsia="Times New Roman" w:hAnsi="Times New Roman"/>
                <w:sz w:val="14"/>
                <w:szCs w:val="14"/>
                <w:color w:val="auto"/>
              </w:rPr>
              <w:t>47.6 %</w:t>
            </w:r>
          </w:p>
        </w:tc>
        <w:tc>
          <w:tcPr>
            <w:tcW w:w="0" w:type="dxa"/>
            <w:vAlign w:val="bottom"/>
          </w:tcPr>
          <w:p>
            <w:pPr>
              <w:spacing w:after="0"/>
              <w:rPr>
                <w:sz w:val="1"/>
                <w:szCs w:val="1"/>
                <w:color w:val="auto"/>
              </w:rPr>
            </w:pPr>
          </w:p>
        </w:tc>
      </w:tr>
      <w:tr>
        <w:trPr>
          <w:trHeight w:val="648"/>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Investments in Properties, net</w:t>
            </w: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 right-of-use assets, net</w:t>
            </w:r>
          </w:p>
        </w:tc>
        <w:tc>
          <w:tcPr>
            <w:tcW w:w="0" w:type="dxa"/>
            <w:vAlign w:val="bottom"/>
          </w:tcPr>
          <w:p>
            <w:pPr>
              <w:spacing w:after="0"/>
              <w:rPr>
                <w:sz w:val="1"/>
                <w:szCs w:val="1"/>
                <w:color w:val="auto"/>
              </w:rPr>
            </w:pPr>
          </w:p>
        </w:tc>
      </w:tr>
      <w:tr>
        <w:trPr>
          <w:trHeight w:val="142"/>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36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32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34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55"/>
        </w:trPr>
        <w:tc>
          <w:tcPr>
            <w:tcW w:w="246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Inside the United States</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shd w:val="clear" w:color="auto" w:fill="CCEEFF"/>
          </w:tcPr>
          <w:p>
            <w:pPr>
              <w:jc w:val="right"/>
              <w:ind w:right="7"/>
              <w:spacing w:after="0" w:line="156" w:lineRule="exact"/>
              <w:rPr>
                <w:sz w:val="20"/>
                <w:szCs w:val="20"/>
                <w:color w:val="auto"/>
              </w:rPr>
            </w:pPr>
            <w:r>
              <w:rPr>
                <w:rFonts w:ascii="Times New Roman" w:cs="Times New Roman" w:eastAsia="Times New Roman" w:hAnsi="Times New Roman"/>
                <w:sz w:val="15"/>
                <w:szCs w:val="15"/>
                <w:color w:val="auto"/>
              </w:rPr>
              <w:t>17,771.2</w:t>
            </w: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10,221.1</w:t>
            </w:r>
          </w:p>
        </w:tc>
        <w:tc>
          <w:tcPr>
            <w:tcW w:w="1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442.4</w:t>
            </w: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489.2</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Outside the United States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7"/>
              <w:spacing w:after="0" w:line="162" w:lineRule="exact"/>
              <w:rPr>
                <w:sz w:val="20"/>
                <w:szCs w:val="20"/>
                <w:color w:val="auto"/>
              </w:rPr>
            </w:pPr>
            <w:r>
              <w:rPr>
                <w:rFonts w:ascii="Times New Roman" w:cs="Times New Roman" w:eastAsia="Times New Roman" w:hAnsi="Times New Roman"/>
                <w:sz w:val="15"/>
                <w:szCs w:val="15"/>
                <w:color w:val="auto"/>
              </w:rPr>
              <w:t>16,881.9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16,212.5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628.9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646.4</w:t>
            </w: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Assets in Foreign Operations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10,471.8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9,274.4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DIGITAL REALTY TRUST, INC. AND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DIGITAL REALTY TRUST, L.P. AND SUBSIDIARIES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On October 6, 2026, Digital Constellation B.V., an indirect wholly owned finance subsidiary of the Operating Partnership, issued and sold CHF225 million aggregate principal amount of 1.6803% Guaranteed Notes due 2029, CHF185 million aggregate principal amount of 2.0600% Guaranteed Notes due 2032 and CHF100 million aggregate principal amount of</w:t>
      </w:r>
    </w:p>
    <w:p>
      <w:pPr>
        <w:spacing w:after="0" w:line="2"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2.4150% Guaranteed Notes due 2036. Net proceeds from the offering were CHF508.4 million (approximately $611 million based on the exchange rate on October 6, 2026) after deducting the managers’ commissions and certain offering expenses.</w:t>
      </w:r>
    </w:p>
    <w:p>
      <w:pPr>
        <w:spacing w:after="0" w:line="144"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On October 9, 2026, Digital Euro Finco, LLC, a wholly owned indirect finance subsidiary of the Operating Partnership, issued and sold €1.0 billion aggregate principal amount of 5.125% Guaranteed Notes due 2036. Net proceeds from the offering were approximately €985.8 million (approximately $1.1 billion based on the exchange rate on October 9, 2026) after deducting managers’ discounts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appearing elsewhere in this report and our Annual Report on Form 10-K for the year ended December 31, 2025, and our Quarterly Report on Form 10-Q for the quarters ended March 31, 2026 and June 30, 2026, each as filed with the United States (“U.S.”) Securities and Exchange Commission (“SEC”). This report contains forward-looking statements within the meaning of the federal securities laws. In particular, statements pertaining to our capital resources, expected use of borrowings under our credit facilities, expected use of proceeds from our ATM equity program,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 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reduced demand for data centers or decreases in information technology spending; decreased rental rates, increased operating costs or increased vacancy rates; increased competition or available supply of data center capacity; the suitability of our data centers and data center infrastructure, delays or disruptions in connectivity or availability of power, or failures or breaches of our physical and information security infrastructure or services; breaches of our obligations or restrictions under our contracts with our customers; our inability to successfully develop and lease new properties and development capacity, and delays or unexpected costs in development of properties; the impact of current global and local economic, credit and market conditions; increased tariffs, global supply chain or procurement disruptions, or increased supply chain costs; the impact from periods of heightened inflation on our costs, such as operating and general and administrative expenses, interest expense and real estate acquisition and construction costs; the impact on our customers’ and our suppliers’ operations during an epidemic, pandemic, or other global events; our dependence upon significant customers, bankruptcy or insolvency of a major customer or a significant number of smaller customers, or defaults on or non-renewal of leases by customers; changes in political conditions, geopolitical turmoil, political instability, civil disturbances, restrictive governmental actions or nationalization in the countries in which we operate; our inability to retain data center capacity that we lease or sublease from third parties; information security, cyberattacks, security breaches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the expected operating performance of anticipated near-term acquisitions and descriptions relating to these expectations; our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inability to comply with rules and regulations applicable to our Company; Digital Realty Trust, Inc.’s failure to maintain its status as a REIT for U.S. federal income tax purposes; Digital Realty Trust, L.P.’s failure to qualify as a partnership for U.S. federal income tax purposes; restrictions on our ability to engage in certain business activities; changes in local, state, federal and international laws and regulations, including related to taxation, real estate and zoning laws, and increases in real property tax rates; the impact of any financial, accounting, legal or regulatory issues or litigation that may affect us; and those additional risks and factors discussed in reports filed with the SEC by us from time to time, including those discussed under the heading “Risk Factors” in our most recently filed Annual Report on Form 10-K and in other sections of this report, including under Part II, Item 1A, Risk Factors.</w:t>
      </w:r>
    </w:p>
    <w:p>
      <w:pPr>
        <w:spacing w:after="0" w:line="192" w:lineRule="exact"/>
        <w:rPr>
          <w:sz w:val="20"/>
          <w:szCs w:val="20"/>
          <w:color w:val="auto"/>
        </w:rPr>
      </w:pPr>
    </w:p>
    <w:p>
      <w:pPr>
        <w:jc w:val="both"/>
        <w:ind w:left="60" w:right="679"/>
        <w:spacing w:after="0" w:line="266"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w:t>
      </w:r>
    </w:p>
    <w:p>
      <w:pPr>
        <w:spacing w:after="0" w:line="1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including factors and risks included in our Annual Report on Form 10-K for the year ended December 31, 2025 and in other sections of this report, including under Part II,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spacing w:after="0" w:line="19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Occupancy percentages included in the following discussion, for some of our properties, are calculated based on factors including available power, required support capacity and common area.</w:t>
      </w:r>
    </w:p>
    <w:p>
      <w:pPr>
        <w:spacing w:after="0" w:line="16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As used in this report: “Ascenty entity” refers to the entity which owns and operates Ascenty, formed with Brookfield Infrastructure.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 and Strategy</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U.S. federal income tax purposes, and our Operating Partnership is the entity through which we conduct our business and own our assets.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primary business objectives are to maximize:</w:t>
      </w:r>
    </w:p>
    <w:p>
      <w:pPr>
        <w:spacing w:after="0" w:line="225" w:lineRule="exact"/>
        <w:rPr>
          <w:sz w:val="20"/>
          <w:szCs w:val="20"/>
          <w:color w:val="auto"/>
        </w:rPr>
      </w:pPr>
    </w:p>
    <w:p>
      <w:pPr>
        <w:ind w:left="1040" w:hanging="63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long-term growth in earnings and funds from operations per share and unit;</w:t>
      </w:r>
    </w:p>
    <w:p>
      <w:pPr>
        <w:spacing w:after="0" w:line="27" w:lineRule="exact"/>
        <w:rPr>
          <w:rFonts w:ascii="Times New Roman" w:cs="Times New Roman" w:eastAsia="Times New Roman" w:hAnsi="Times New Roman"/>
          <w:sz w:val="18"/>
          <w:szCs w:val="18"/>
          <w:color w:val="auto"/>
        </w:rPr>
      </w:pPr>
    </w:p>
    <w:p>
      <w:pPr>
        <w:ind w:left="1040" w:right="139" w:hanging="639"/>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and returns to our stockholders and Digital Realty Trust, L.P.’s unitholders through the payment of distributions; and</w:t>
      </w:r>
    </w:p>
    <w:p>
      <w:pPr>
        <w:ind w:left="1040" w:hanging="63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207"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8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spacing w:after="0" w:line="180"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spacing w:after="0" w:line="171" w:lineRule="exact"/>
        <w:rPr>
          <w:sz w:val="20"/>
          <w:szCs w:val="20"/>
          <w:color w:val="auto"/>
        </w:rPr>
      </w:pPr>
    </w:p>
    <w:p>
      <w:pPr>
        <w:ind w:left="60" w:right="599"/>
        <w:spacing w:after="0" w:line="261" w:lineRule="auto"/>
        <w:rPr>
          <w:sz w:val="20"/>
          <w:szCs w:val="20"/>
          <w:color w:val="auto"/>
        </w:rPr>
      </w:pPr>
      <w:r>
        <w:rPr>
          <w:rFonts w:ascii="Times New Roman" w:cs="Times New Roman" w:eastAsia="Times New Roman" w:hAnsi="Times New Roman"/>
          <w:sz w:val="18"/>
          <w:szCs w:val="18"/>
          <w:color w:val="auto"/>
        </w:rPr>
        <w:t>Changes in political conditions, geopolitical turmoil, political instability, civil disturbances, restrictive governmental actions or nationalization in the countries in which we operate, including escalations in political and trade tensions involving the U.S. and regulatory and legislative changes, could potentially result in adverse effects on our, and our customers’,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2026 Significant Activities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 completed the following significant activities during the nine months ended September 30, 2026:</w:t>
      </w:r>
    </w:p>
    <w:p>
      <w:pPr>
        <w:spacing w:after="0" w:line="227" w:lineRule="exact"/>
        <w:rPr>
          <w:sz w:val="20"/>
          <w:szCs w:val="20"/>
          <w:color w:val="auto"/>
        </w:rPr>
      </w:pPr>
    </w:p>
    <w:p>
      <w:pPr>
        <w:ind w:left="720" w:right="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we closed on acquisitions totaling approximately $280 million in the aggregate, primarily in Investments in properties, net in Sofia, Bulgaria, Milan, Italy, Portland and Atlanta.</w:t>
      </w:r>
    </w:p>
    <w:p>
      <w:pPr>
        <w:spacing w:after="0" w:line="161"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our Operating Partnership acquired approximately 1,440 acres of development land at Astra Enterprise Park, located near Kansas City, for total consideration of $482 million, comprised of $377.6 million in cash and 517,475 common units of limited partnership interest in our Operating Partnership with a fair value of $104.0 million.</w:t>
      </w:r>
    </w:p>
    <w:p>
      <w:pPr>
        <w:spacing w:after="0" w:line="179" w:lineRule="exact"/>
        <w:rPr>
          <w:rFonts w:ascii="Times New Roman" w:cs="Times New Roman" w:eastAsia="Times New Roman" w:hAnsi="Times New Roman"/>
          <w:sz w:val="18"/>
          <w:szCs w:val="18"/>
          <w:color w:val="auto"/>
        </w:rPr>
      </w:pPr>
    </w:p>
    <w:p>
      <w:pPr>
        <w:ind w:left="720" w:right="239" w:hanging="319"/>
        <w:spacing w:after="0" w:line="289"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June 30, 2026, we completed several additional acquisitions, including two land parcels totaling approximately 355 acres in the Atlanta metro area for $21 million, two data centers and associated land in Cyberjaya, Malaysia for $137 million, and a 27-acre site in Marseille, France for $55 million.</w:t>
      </w:r>
    </w:p>
    <w:p>
      <w:pPr>
        <w:spacing w:after="0" w:line="157" w:lineRule="exact"/>
        <w:rPr>
          <w:rFonts w:ascii="Times New Roman" w:cs="Times New Roman" w:eastAsia="Times New Roman" w:hAnsi="Times New Roman"/>
          <w:sz w:val="17"/>
          <w:szCs w:val="17"/>
          <w:color w:val="auto"/>
        </w:rPr>
      </w:pPr>
    </w:p>
    <w:p>
      <w:pPr>
        <w:ind w:left="720" w:right="39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we contributed two development projects to Digital Realty DC Partners NA Fund (the “Fund”), with an aggregate carrying value of approximately $439 million, for gross proceeds of $447 million and recognized a gain on disposition of approximately $8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right="139" w:hanging="319"/>
        <w:spacing w:after="0" w:line="25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2026, we completed the acquisition of 64% blended partnership interests in the Digital Carver Dulles 9 JV, LLC and Digital Carver Brickyard JV, LLC joint ventures. Prior to this transaction, the Company held the remaining 36% blended partnership interests. The newly developed assets are expected to be fully stabilized in the first half of 2027 and first half of 2028. Total consideration for our joint venture partners’ equity interests in the assets was approximately $3.5 billion, including $1.2 billion of cash and 12.3 million shares of Digital Realty common stock.</w:t>
      </w:r>
    </w:p>
    <w:p>
      <w:pPr>
        <w:spacing w:after="0" w:line="187"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805, the Columbia Capital Acquisition was accounted for as a business combination using the acquisition method of accounting. The aggregate acquisition-date fair value of consideration transferred was approximately $690.1 million, consisting of 2.3 million shares of Digital Realty common stock with a fair value of $453.0 million, cash paid of $17.1 million and contingent consideration with a fair value of $220.0 million, payable in Digital Realty common stock.</w:t>
      </w:r>
    </w:p>
    <w:p>
      <w:pPr>
        <w:spacing w:after="0" w:line="183" w:lineRule="exact"/>
        <w:rPr>
          <w:rFonts w:ascii="Times New Roman" w:cs="Times New Roman" w:eastAsia="Times New Roman" w:hAnsi="Times New Roman"/>
          <w:sz w:val="18"/>
          <w:szCs w:val="18"/>
          <w:color w:val="auto"/>
        </w:rPr>
      </w:pPr>
    </w:p>
    <w:p>
      <w:pPr>
        <w:ind w:left="720" w:right="159" w:hanging="319"/>
        <w:spacing w:after="0" w:line="23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Digital Realty Trust, Inc. generated net proceeds of approximately $2.9 billion under its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program from the issuance of approximately 15.9 million common shares at an average price of $185.98 per share after payment of approximately $15.4 million of commissions to the agents. As of September 30, 2026, $5.9 billion remains available for future sales.</w:t>
      </w:r>
    </w:p>
    <w:p>
      <w:pPr>
        <w:spacing w:after="0" w:line="198"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we completed various acquisitions totaling approximately $802.8 million, primarily consisting of land held for future development and other real estate and development-related investments. These investments included land acquisitions in Charlotte, Chicago, Indianapolis, as well as other investments in real estate and development properties.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Base</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Most of our revenue consists of rental income generated by the data centers in our portfolio. Our ability to generate and grow revenue depends on several factors, including our ability to maintain or improve occupancy rates. A summary of our data center portfolio and the DLR Share of White Space IT Load (excluding capacity under development or held for development) is shown below.</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62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3320" w:type="dxa"/>
            <w:vAlign w:val="bottom"/>
            <w:gridSpan w:val="3"/>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122"/>
        </w:trPr>
        <w:tc>
          <w:tcPr>
            <w:tcW w:w="1960" w:type="dxa"/>
            <w:vAlign w:val="bottom"/>
            <w:gridSpan w:val="2"/>
            <w:vMerge w:val="continue"/>
          </w:tcPr>
          <w:p>
            <w:pPr>
              <w:spacing w:after="0"/>
              <w:rPr>
                <w:sz w:val="10"/>
                <w:szCs w:val="10"/>
                <w:color w:val="auto"/>
              </w:rPr>
            </w:pPr>
          </w:p>
        </w:tc>
        <w:tc>
          <w:tcPr>
            <w:tcW w:w="1020" w:type="dxa"/>
            <w:vAlign w:val="bottom"/>
            <w:tcBorders>
              <w:top w:val="single" w:sz="8" w:color="auto"/>
            </w:tcBorders>
          </w:tcPr>
          <w:p>
            <w:pPr>
              <w:jc w:val="right"/>
              <w:ind w:right="22"/>
              <w:spacing w:after="0" w:line="122" w:lineRule="exact"/>
              <w:rPr>
                <w:sz w:val="20"/>
                <w:szCs w:val="20"/>
                <w:color w:val="auto"/>
              </w:rPr>
            </w:pPr>
            <w:r>
              <w:rPr>
                <w:rFonts w:ascii="Times New Roman" w:cs="Times New Roman" w:eastAsia="Times New Roman" w:hAnsi="Times New Roman"/>
                <w:sz w:val="14"/>
                <w:szCs w:val="14"/>
                <w:b w:val="1"/>
                <w:bCs w:val="1"/>
                <w:color w:val="auto"/>
              </w:rPr>
              <w:t>Data Centers</w:t>
            </w:r>
          </w:p>
        </w:tc>
        <w:tc>
          <w:tcPr>
            <w:tcW w:w="1120" w:type="dxa"/>
            <w:vAlign w:val="bottom"/>
            <w:tcBorders>
              <w:top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4"/>
                <w:szCs w:val="14"/>
                <w:b w:val="1"/>
                <w:bCs w:val="1"/>
                <w:color w:val="auto"/>
              </w:rPr>
              <w:t>White Space IT</w:t>
            </w:r>
          </w:p>
        </w:tc>
        <w:tc>
          <w:tcPr>
            <w:tcW w:w="1160" w:type="dxa"/>
            <w:vAlign w:val="bottom"/>
            <w:tcBorders>
              <w:top w:val="single" w:sz="8" w:color="auto"/>
            </w:tcBorders>
          </w:tcPr>
          <w:p>
            <w:pPr>
              <w:jc w:val="right"/>
              <w:ind w:right="134"/>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Occupancy </w:t>
            </w:r>
            <w:r>
              <w:rPr>
                <w:rFonts w:ascii="Times New Roman" w:cs="Times New Roman" w:eastAsia="Times New Roman" w:hAnsi="Times New Roman"/>
                <w:sz w:val="14"/>
                <w:szCs w:val="14"/>
                <w:b w:val="1"/>
                <w:bCs w:val="1"/>
                <w:color w:val="auto"/>
                <w:vertAlign w:val="superscript"/>
              </w:rPr>
              <w:t>(2)</w:t>
            </w:r>
          </w:p>
        </w:tc>
        <w:tc>
          <w:tcPr>
            <w:tcW w:w="320" w:type="dxa"/>
            <w:vAlign w:val="bottom"/>
          </w:tcPr>
          <w:p>
            <w:pPr>
              <w:spacing w:after="0"/>
              <w:rPr>
                <w:sz w:val="10"/>
                <w:szCs w:val="10"/>
                <w:color w:val="auto"/>
              </w:rPr>
            </w:pPr>
          </w:p>
        </w:tc>
        <w:tc>
          <w:tcPr>
            <w:tcW w:w="1040" w:type="dxa"/>
            <w:vAlign w:val="bottom"/>
            <w:tcBorders>
              <w:top w:val="single" w:sz="8" w:color="auto"/>
            </w:tcBorders>
          </w:tcPr>
          <w:p>
            <w:pPr>
              <w:jc w:val="right"/>
              <w:ind w:right="22"/>
              <w:spacing w:after="0" w:line="122" w:lineRule="exact"/>
              <w:rPr>
                <w:sz w:val="20"/>
                <w:szCs w:val="20"/>
                <w:color w:val="auto"/>
              </w:rPr>
            </w:pPr>
            <w:r>
              <w:rPr>
                <w:rFonts w:ascii="Times New Roman" w:cs="Times New Roman" w:eastAsia="Times New Roman" w:hAnsi="Times New Roman"/>
                <w:sz w:val="14"/>
                <w:szCs w:val="14"/>
                <w:b w:val="1"/>
                <w:bCs w:val="1"/>
                <w:color w:val="auto"/>
              </w:rPr>
              <w:t>Data Centers</w:t>
            </w:r>
          </w:p>
        </w:tc>
        <w:tc>
          <w:tcPr>
            <w:tcW w:w="1120" w:type="dxa"/>
            <w:vAlign w:val="bottom"/>
            <w:tcBorders>
              <w:top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4"/>
                <w:szCs w:val="14"/>
                <w:b w:val="1"/>
                <w:bCs w:val="1"/>
                <w:color w:val="auto"/>
              </w:rPr>
              <w:t>White Space IT</w:t>
            </w:r>
          </w:p>
        </w:tc>
        <w:tc>
          <w:tcPr>
            <w:tcW w:w="1160" w:type="dxa"/>
            <w:vAlign w:val="bottom"/>
            <w:tcBorders>
              <w:top w:val="single" w:sz="8" w:color="auto"/>
            </w:tcBorders>
          </w:tcPr>
          <w:p>
            <w:pPr>
              <w:jc w:val="right"/>
              <w:ind w:right="114"/>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Occupancy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5"/>
        </w:trPr>
        <w:tc>
          <w:tcPr>
            <w:tcW w:w="1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Load (MW) </w:t>
            </w:r>
            <w:r>
              <w:rPr>
                <w:rFonts w:ascii="Times New Roman" w:cs="Times New Roman" w:eastAsia="Times New Roman" w:hAnsi="Times New Roman"/>
                <w:sz w:val="20"/>
                <w:szCs w:val="20"/>
                <w:b w:val="1"/>
                <w:bCs w:val="1"/>
                <w:color w:val="auto"/>
                <w:w w:val="99"/>
                <w:vertAlign w:val="superscript"/>
              </w:rPr>
              <w:t>(1)</w:t>
            </w:r>
          </w:p>
        </w:tc>
        <w:tc>
          <w:tcPr>
            <w:tcW w:w="116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Load (MW) </w:t>
            </w:r>
            <w:r>
              <w:rPr>
                <w:rFonts w:ascii="Times New Roman" w:cs="Times New Roman" w:eastAsia="Times New Roman" w:hAnsi="Times New Roman"/>
                <w:sz w:val="20"/>
                <w:szCs w:val="20"/>
                <w:b w:val="1"/>
                <w:bCs w:val="1"/>
                <w:color w:val="auto"/>
                <w:w w:val="99"/>
                <w:vertAlign w:val="superscript"/>
              </w:rPr>
              <w:t>(1)</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1,453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95.8 %</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1,324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3" w:right="1440" w:bottom="1440" w:gutter="0" w:footer="0" w:header="0"/>
        </w:sectPr>
      </w:pPr>
    </w:p>
    <w:tbl>
      <w:tblPr>
        <w:tblLayout w:type="fixed"/>
        <w:tblInd w:w="40" w:type="dxa"/>
        <w:tblCellMar>
          <w:top w:w="0" w:type="dxa"/>
          <w:left w:w="0" w:type="dxa"/>
          <w:bottom w:w="0" w:type="dxa"/>
          <w:right w:w="0" w:type="dxa"/>
        </w:tblCellMar>
      </w:tblP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EMEA</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130</w:t>
            </w: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83.1 %</w:t>
            </w:r>
          </w:p>
        </w:tc>
      </w:tr>
      <w:tr>
        <w:trPr>
          <w:trHeight w:val="213"/>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APAC</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25</w:t>
            </w: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232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Consolidated Portfolio</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311</w:t>
            </w: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2,555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4896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129</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822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24</w:t>
            </w: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217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310</w:t>
            </w: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2,363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300" w:space="320"/>
            <w:col w:w="339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Note: Table excludes data centers held for sale or contribution. Total amounts may differ due to rounding.</w:t>
      </w:r>
    </w:p>
    <w:p>
      <w:pPr>
        <w:spacing w:after="0" w:line="27" w:lineRule="exact"/>
        <w:rPr>
          <w:sz w:val="20"/>
          <w:szCs w:val="20"/>
          <w:color w:val="auto"/>
        </w:rPr>
      </w:pPr>
    </w:p>
    <w:p>
      <w:pPr>
        <w:ind w:left="380" w:right="11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Space IT Load represents uninterruptible power systems backed utility power in megawatts dedicated to Digital Realty’s operated data center capacity.</w:t>
      </w: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excludes capacity under active development and capacity held for development.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Activities</w:t>
      </w:r>
    </w:p>
    <w:p>
      <w:pPr>
        <w:spacing w:after="0" w:line="229" w:lineRule="exact"/>
        <w:rPr>
          <w:sz w:val="20"/>
          <w:szCs w:val="20"/>
          <w:color w:val="auto"/>
        </w:rPr>
      </w:pPr>
    </w:p>
    <w:p>
      <w:pPr>
        <w:ind w:left="60" w:right="639"/>
        <w:spacing w:after="0" w:line="266" w:lineRule="auto"/>
        <w:rPr>
          <w:sz w:val="20"/>
          <w:szCs w:val="20"/>
          <w:color w:val="auto"/>
        </w:rPr>
      </w:pPr>
      <w:r>
        <w:rPr>
          <w:rFonts w:ascii="Times New Roman" w:cs="Times New Roman" w:eastAsia="Times New Roman" w:hAnsi="Times New Roman"/>
          <w:sz w:val="18"/>
          <w:szCs w:val="18"/>
          <w:color w:val="auto"/>
        </w:rPr>
        <w:t>Due to the capital-intensive and long-term nature of the operations we support, our lease terms with customers are generally longer than standard commercial leases. As of September 30, 2026, our average remaining lease term was approximately four years.</w:t>
      </w:r>
    </w:p>
    <w:p>
      <w:pPr>
        <w:spacing w:after="0" w:line="1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ability to re-lease expiring space at rental rates equal to or in excess of current rental rates will impact our results of operations. The subsequent table summarizes our leasing activity (DLR’s share) in the nine months ended September 30, 2026 (net rentable square feet (“NRSF”) in thousands):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0-1 MW</w:t>
            </w:r>
          </w:p>
        </w:tc>
        <w:tc>
          <w:tcPr>
            <w:tcW w:w="180" w:type="dxa"/>
            <w:vAlign w:val="bottom"/>
          </w:tcPr>
          <w:p>
            <w:pPr>
              <w:spacing w:after="0"/>
              <w:rPr>
                <w:sz w:val="14"/>
                <w:szCs w:val="14"/>
                <w:color w:val="auto"/>
              </w:rPr>
            </w:pPr>
          </w:p>
        </w:tc>
        <w:tc>
          <w:tcPr>
            <w:tcW w:w="14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&gt; 1 MW</w:t>
            </w:r>
          </w:p>
        </w:tc>
        <w:tc>
          <w:tcPr>
            <w:tcW w:w="260" w:type="dxa"/>
            <w:vAlign w:val="bottom"/>
          </w:tcPr>
          <w:p>
            <w:pPr>
              <w:spacing w:after="0"/>
              <w:rPr>
                <w:sz w:val="14"/>
                <w:szCs w:val="14"/>
                <w:color w:val="auto"/>
              </w:rPr>
            </w:pPr>
          </w:p>
        </w:tc>
        <w:tc>
          <w:tcPr>
            <w:tcW w:w="13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18"/>
        </w:trPr>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(Based on kW)</w:t>
            </w:r>
          </w:p>
        </w:tc>
        <w:tc>
          <w:tcPr>
            <w:tcW w:w="180" w:type="dxa"/>
            <w:vAlign w:val="bottom"/>
          </w:tcPr>
          <w:p>
            <w:pPr>
              <w:spacing w:after="0"/>
              <w:rPr>
                <w:sz w:val="18"/>
                <w:szCs w:val="18"/>
                <w:color w:val="auto"/>
              </w:rPr>
            </w:pP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(Based on kW)</w:t>
            </w:r>
          </w:p>
        </w:tc>
        <w:tc>
          <w:tcPr>
            <w:tcW w:w="260" w:type="dxa"/>
            <w:vAlign w:val="bottom"/>
          </w:tcPr>
          <w:p>
            <w:pPr>
              <w:spacing w:after="0"/>
              <w:rPr>
                <w:sz w:val="18"/>
                <w:szCs w:val="18"/>
                <w:color w:val="auto"/>
              </w:rPr>
            </w:pPr>
          </w:p>
        </w:tc>
        <w:tc>
          <w:tcPr>
            <w:tcW w:w="1340" w:type="dxa"/>
            <w:vAlign w:val="bottom"/>
          </w:tcPr>
          <w:p>
            <w:pPr>
              <w:jc w:val="right"/>
              <w:ind w:right="41"/>
              <w:spacing w:after="0" w:line="218" w:lineRule="exact"/>
              <w:rPr>
                <w:sz w:val="20"/>
                <w:szCs w:val="20"/>
                <w:color w:val="auto"/>
              </w:rPr>
            </w:pPr>
            <w:r>
              <w:rPr>
                <w:rFonts w:ascii="Times New Roman" w:cs="Times New Roman" w:eastAsia="Times New Roman" w:hAnsi="Times New Roman"/>
                <w:sz w:val="14"/>
                <w:szCs w:val="14"/>
                <w:b w:val="1"/>
                <w:bCs w:val="1"/>
                <w:color w:val="auto"/>
              </w:rPr>
              <w:t>(Based on NRSF)</w:t>
            </w:r>
            <w:r>
              <w:rPr>
                <w:rFonts w:ascii="Times New Roman" w:cs="Times New Roman" w:eastAsia="Times New Roman" w:hAnsi="Times New Roman"/>
                <w:sz w:val="21"/>
                <w:szCs w:val="21"/>
                <w:b w:val="1"/>
                <w:bCs w:val="1"/>
                <w:color w:val="auto"/>
                <w:vertAlign w:val="superscript"/>
              </w:rPr>
              <w:t>(3)</w:t>
            </w:r>
          </w:p>
        </w:tc>
      </w:tr>
      <w:tr>
        <w:trPr>
          <w:trHeight w:val="196"/>
        </w:trPr>
        <w:tc>
          <w:tcPr>
            <w:tcW w:w="404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5"/>
                <w:szCs w:val="15"/>
                <w:b w:val="1"/>
                <w:bCs w:val="1"/>
                <w:color w:val="auto"/>
              </w:rPr>
              <w:t>Leasing Activity - New</w:t>
            </w:r>
            <w:r>
              <w:rPr>
                <w:rFonts w:ascii="Times New Roman" w:cs="Times New Roman" w:eastAsia="Times New Roman" w:hAnsi="Times New Roman"/>
                <w:sz w:val="22"/>
                <w:szCs w:val="22"/>
                <w:b w:val="1"/>
                <w:bCs w:val="1"/>
                <w:color w:val="auto"/>
                <w:vertAlign w:val="superscript"/>
              </w:rPr>
              <w:t>(1)(2)</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Annualized GAAP Rent (in thousands)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296,403</w:t>
            </w:r>
          </w:p>
        </w:tc>
        <w:tc>
          <w:tcPr>
            <w:tcW w:w="2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898,507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Kilowatt Leased / NRSF</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345,852</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Weighted Average Lease Term (years)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GAAP rent per Kilowatt / NRSF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Leasing cost per Kilowatt / NRSF</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2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40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6"/>
                <w:szCs w:val="16"/>
                <w:b w:val="1"/>
                <w:bCs w:val="1"/>
                <w:color w:val="auto"/>
              </w:rPr>
              <w:t>Leasing Activity - Renewals</w:t>
            </w:r>
            <w:r>
              <w:rPr>
                <w:rFonts w:ascii="Times New Roman" w:cs="Times New Roman" w:eastAsia="Times New Roman" w:hAnsi="Times New Roman"/>
                <w:sz w:val="23"/>
                <w:szCs w:val="23"/>
                <w:b w:val="1"/>
                <w:bCs w:val="1"/>
                <w:color w:val="auto"/>
                <w:vertAlign w:val="superscript"/>
              </w:rPr>
              <w:t>(1)(2)</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Kilowatt Leased / NRSF</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100,467</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Weighted Average Lease Term (years)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Expiring cash rent per Kilowatt / NRSF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Renewed cash rent per Kilowatt / NRSF</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Leasing cost per Kilowatt / NRSF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08"/>
        </w:trPr>
        <w:tc>
          <w:tcPr>
            <w:tcW w:w="22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short-term, roof, storage and garage leases.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leases for new and re-leased capacity.</w:t>
      </w:r>
    </w:p>
    <w:p>
      <w:pPr>
        <w:spacing w:after="0" w:line="9" w:lineRule="exact"/>
        <w:rPr>
          <w:rFonts w:ascii="Times New Roman" w:cs="Times New Roman" w:eastAsia="Times New Roman" w:hAnsi="Times New Roman"/>
          <w:sz w:val="18"/>
          <w:szCs w:val="18"/>
          <w:color w:val="auto"/>
        </w:rPr>
      </w:pPr>
    </w:p>
    <w:p>
      <w:pPr>
        <w:ind w:left="380" w:right="319" w:hanging="330"/>
        <w:spacing w:after="0" w:line="26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Powered Base Building shell capacity as well as storage and office space within fully improved data center facilities.</w:t>
      </w:r>
    </w:p>
    <w:p>
      <w:pPr>
        <w:spacing w:after="0" w:line="18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continue to see strong demand in most of our key metropolitan areas for data center capacity and, subject to the supply of available data center capacity in these metropolitan areas, we expect average aggregate rental rates on renewed data center leases for 2026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capacity, competition from other data center developers or operators, the condition of the property and whether the property, or capacity within the property, has been developed.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We depend on the market for data centers in specific geographic regions and significant changes in these regional or metropolitan areas can impact our future results. The following table shows the geographic concentration based on annualized rent from our portfolio, including data centers held as investments in unconsolidated entities.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Metropolitan Area</w:t>
            </w:r>
          </w:p>
        </w:tc>
        <w:tc>
          <w:tcPr>
            <w:tcW w:w="2640" w:type="dxa"/>
            <w:vAlign w:val="bottom"/>
          </w:tcPr>
          <w:p>
            <w:pPr>
              <w:jc w:val="center"/>
              <w:ind w:left="114"/>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60" w:type="dxa"/>
            <w:vAlign w:val="bottom"/>
            <w:gridSpan w:val="4"/>
            <w:vMerge w:val="continue"/>
          </w:tcPr>
          <w:p>
            <w:pPr>
              <w:spacing w:after="0"/>
              <w:rPr>
                <w:sz w:val="15"/>
                <w:szCs w:val="15"/>
                <w:color w:val="auto"/>
              </w:rPr>
            </w:pPr>
          </w:p>
        </w:tc>
        <w:tc>
          <w:tcPr>
            <w:tcW w:w="2640" w:type="dxa"/>
            <w:vAlign w:val="bottom"/>
          </w:tcPr>
          <w:p>
            <w:pPr>
              <w:jc w:val="center"/>
              <w:ind w:left="114"/>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Total annualized rent </w:t>
            </w:r>
            <w:r>
              <w:rPr>
                <w:rFonts w:ascii="Times New Roman" w:cs="Times New Roman" w:eastAsia="Times New Roman" w:hAnsi="Times New Roman"/>
                <w:sz w:val="20"/>
                <w:szCs w:val="20"/>
                <w:b w:val="1"/>
                <w:bCs w:val="1"/>
                <w:color w:val="auto"/>
                <w:w w:val="99"/>
                <w:vertAlign w:val="superscript"/>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Virginia</w:t>
            </w:r>
          </w:p>
        </w:tc>
        <w:tc>
          <w:tcPr>
            <w:tcW w:w="4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Chicago</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Frankfurt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London</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Amsterdam</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Dallas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Paris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Silicon Valley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Johannesburg</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19" w:hanging="330"/>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rent is monthly contractual rent (defined as cash base rent before abatements) under existing leases as of the end of the period presented, multiplied by 12. Includes consolidated portfolio and unconsolidated entities at DLR’s share. The aggregate amount of abatements for the nine months ended September 30, 2026 was approximately $14.2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spacing w:after="0" w:line="13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spacing w:after="0" w:line="13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Costs pertaining to our asset management function, legal, accounting, corporate governance, reporting and compliance are categorized as general and administrative costs within operating expenses.</w:t>
      </w:r>
    </w:p>
    <w:p>
      <w:pPr>
        <w:spacing w:after="0" w:line="135"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Other key components of operating expenses include: depreciation of our fixed assets, amortization of intangible assets, and transactions and integration costs.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(Expenses)</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Equity in earnings of unconsolidated entities, interest expense, and income tax expense make up the majority of Other income/(expenses). Equity in earnings of unconsolidated entities represents our share of the net income/(loss) of entities in which we invest, but do not consolidate under U.S. GAAP. Refer to additional discussion of Digital Core REIT and Ascenty in the Notes to the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As a result of the consistent and significant growth in our business since the first property acquisition in 2002, we evaluate period-to-period results for revenue and property level operating expenses on a stabilized versus non-stabilized portfolio basis.</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Stabilized</w:t>
      </w:r>
      <w:r>
        <w:rPr>
          <w:rFonts w:ascii="Times New Roman" w:cs="Times New Roman" w:eastAsia="Times New Roman" w:hAnsi="Times New Roman"/>
          <w:sz w:val="18"/>
          <w:szCs w:val="18"/>
          <w:color w:val="auto"/>
        </w:rPr>
        <w:t>: The stabilized portfolio includes properties owned as of the beginning of all periods presented with less than 5% of total rentable square feet under development.</w:t>
      </w:r>
    </w:p>
    <w:p>
      <w:pPr>
        <w:spacing w:after="0" w:line="16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Non-stabilized</w:t>
      </w:r>
      <w:r>
        <w:rPr>
          <w:rFonts w:ascii="Times New Roman" w:cs="Times New Roman" w:eastAsia="Times New Roman" w:hAnsi="Times New Roman"/>
          <w:sz w:val="18"/>
          <w:szCs w:val="18"/>
          <w:color w:val="auto"/>
        </w:rPr>
        <w:t>: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roll forward showing changes in the stabilized and non-stabilized portfolios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as compared to December 31, 2025 is shown below:</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 Capacity in kW</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Stabilized</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Non-Stabilized</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41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As of December 31, 2025</w:t>
            </w:r>
          </w:p>
        </w:tc>
        <w:tc>
          <w:tcPr>
            <w:tcW w:w="24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1,367,608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709,324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 / Sales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development and space reconfigurations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stabilized from non-stabilized</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233,967</w:t>
            </w:r>
          </w:p>
        </w:tc>
        <w:tc>
          <w:tcPr>
            <w:tcW w:w="60" w:type="dxa"/>
            <w:vAlign w:val="bottom"/>
          </w:tcPr>
          <w:p>
            <w:pPr>
              <w:spacing w:after="0"/>
              <w:rPr>
                <w:sz w:val="18"/>
                <w:szCs w:val="18"/>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(233,967)</w:t>
            </w:r>
          </w:p>
        </w:tc>
        <w:tc>
          <w:tcPr>
            <w:tcW w:w="200" w:type="dxa"/>
            <w:vAlign w:val="bottom"/>
          </w:tcPr>
          <w:p>
            <w:pPr>
              <w:spacing w:after="0"/>
              <w:rPr>
                <w:sz w:val="18"/>
                <w:szCs w:val="18"/>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non-stabilized from stabilized</w:t>
            </w:r>
          </w:p>
        </w:tc>
        <w:tc>
          <w:tcPr>
            <w:tcW w:w="2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2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-719455</wp:posOffset>
            </wp:positionV>
            <wp:extent cx="56489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-445135</wp:posOffset>
            </wp:positionV>
            <wp:extent cx="56489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-170815</wp:posOffset>
            </wp:positionV>
            <wp:extent cx="564896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-1010920</wp:posOffset>
            </wp:positionV>
            <wp:extent cx="564896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2,076,932</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(4,500)</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92,141</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97,575</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2,262,148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31750</wp:posOffset>
            </wp:positionV>
            <wp:extent cx="831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680" w:space="420"/>
            <w:col w:w="9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Comparison of the Results of Operations for the Three and Nine Months Ended September 30, 2026 to the Three and Nine Months Ended September 30,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operating revenues as shown on our condensed consolidated income statements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r>
      <w:tr>
        <w:trPr>
          <w:trHeight w:val="142"/>
        </w:trPr>
        <w:tc>
          <w:tcPr>
            <w:tcW w:w="1740" w:type="dxa"/>
            <w:vAlign w:val="bottom"/>
          </w:tcPr>
          <w:p>
            <w:pPr>
              <w:spacing w:after="0"/>
              <w:rPr>
                <w:sz w:val="12"/>
                <w:szCs w:val="12"/>
                <w:color w:val="auto"/>
              </w:rPr>
            </w:pPr>
          </w:p>
        </w:tc>
        <w:tc>
          <w:tcPr>
            <w:tcW w:w="28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17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1,338,455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1,230,483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107,972</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8.8 %</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3,857,842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3,540,813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317,029</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9.0 %</w:t>
            </w:r>
          </w:p>
        </w:tc>
      </w:tr>
      <w:tr>
        <w:trPr>
          <w:trHeight w:val="148"/>
        </w:trPr>
        <w:tc>
          <w:tcPr>
            <w:tcW w:w="17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Non-Stabilized</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488,654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305,607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183,047</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59.9 %</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1,244,127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839,498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404,629</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48.2 %</w:t>
            </w:r>
          </w:p>
        </w:tc>
      </w:tr>
      <w:tr>
        <w:trPr>
          <w:trHeight w:val="142"/>
        </w:trPr>
        <w:tc>
          <w:tcPr>
            <w:tcW w:w="17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Rental and other services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1,827,109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1,536,090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291,019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18.9 %</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5,101,969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4,380,311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721,658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16.5 %</w:t>
            </w:r>
          </w:p>
        </w:tc>
      </w:tr>
      <w:tr>
        <w:trPr>
          <w:trHeight w:val="148"/>
        </w:trPr>
        <w:tc>
          <w:tcPr>
            <w:tcW w:w="17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Fee income and other</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41,144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34,165</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83.0 %</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359,662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97,710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261,952</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268.1 %</w:t>
            </w:r>
          </w:p>
        </w:tc>
      </w:tr>
      <w:tr>
        <w:trPr>
          <w:trHeight w:val="142"/>
        </w:trPr>
        <w:tc>
          <w:tcPr>
            <w:tcW w:w="174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1,902,418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1,577,234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325,184</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20.6 %</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5,461,631</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4,478,021</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983,610</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22.0 %</w:t>
            </w:r>
          </w:p>
        </w:tc>
      </w:tr>
      <w:tr>
        <w:trPr>
          <w:trHeight w:val="20"/>
        </w:trPr>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operating revenues increased by approximately $325.2 million and $983.6 million in the three and nine months ended September 30, 2026, respectively, compared to the same periods in 2025.</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Stabilized rental and other services revenue increased by approximately $108.0 million and $317.0 million in the three and nine months ended September 30, 2026, respectively, compared to the same periods in 2025 primarily due to increases in new leasing and renewals and higher utilities reimbursements across all regions along with the strengthening of foreign exchange rates, primarily the Euro, British pound sterling and Singapore dollar.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Non-stabilized rental and other services revenue increased by approximately $183.0 million and $404.6 million in the three and nine months ended September 30, 2026, respectively, compared to the same periods in 2025 primarily due to:</w:t>
      </w:r>
    </w:p>
    <w:p>
      <w:pPr>
        <w:spacing w:after="0" w:line="40" w:lineRule="exact"/>
        <w:rPr>
          <w:sz w:val="20"/>
          <w:szCs w:val="20"/>
          <w:color w:val="auto"/>
        </w:rPr>
      </w:pPr>
    </w:p>
    <w:p>
      <w:pPr>
        <w:ind w:left="640" w:right="339" w:hanging="320"/>
        <w:spacing w:after="0" w:line="25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$183.8 million and $468.6 million, respectively, due to the completion of our global development pipeline and related lease up operating activities (with the biggest contributions in Northern Virginia, Frankfurt, Paris and Johannesburg); and</w:t>
      </w:r>
    </w:p>
    <w:p>
      <w:pPr>
        <w:spacing w:after="0" w:line="1" w:lineRule="exact"/>
        <w:rPr>
          <w:rFonts w:ascii="Times New Roman" w:cs="Times New Roman" w:eastAsia="Times New Roman" w:hAnsi="Times New Roman"/>
          <w:sz w:val="18"/>
          <w:szCs w:val="18"/>
          <w:color w:val="auto"/>
        </w:rPr>
      </w:pPr>
    </w:p>
    <w:p>
      <w:pPr>
        <w:ind w:left="640" w:right="279" w:hanging="320"/>
        <w:spacing w:after="0" w:line="260"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decreases of $0.8 million and $64.0 million, respectively, related to properties sold or contributed since September 30, 2025.</w:t>
      </w:r>
    </w:p>
    <w:p>
      <w:pPr>
        <w:spacing w:after="0" w:line="181"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Fee income and other increased $34.2 million and $262.0 million in the three and nine months ended September 30, 2026, respectively, compared to the same periods in 2025 primarily due to higher construction and development fees during the three-month period and $201 million of promote income related to achievement of certain performance hurdles associated with the June 2026 Acquisition during the nine-month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Expenses — Property Level</w:t>
      </w:r>
    </w:p>
    <w:p>
      <w:pPr>
        <w:spacing w:after="0" w:line="227" w:lineRule="exact"/>
        <w:rPr>
          <w:sz w:val="20"/>
          <w:szCs w:val="20"/>
          <w:color w:val="auto"/>
        </w:rPr>
      </w:pPr>
    </w:p>
    <w:p>
      <w:pPr>
        <w:ind w:left="60" w:right="799"/>
        <w:spacing w:after="0" w:line="261" w:lineRule="auto"/>
        <w:rPr>
          <w:sz w:val="20"/>
          <w:szCs w:val="20"/>
          <w:color w:val="auto"/>
        </w:rPr>
      </w:pPr>
      <w:r>
        <w:rPr>
          <w:rFonts w:ascii="Times New Roman" w:cs="Times New Roman" w:eastAsia="Times New Roman" w:hAnsi="Times New Roman"/>
          <w:sz w:val="18"/>
          <w:szCs w:val="18"/>
          <w:color w:val="auto"/>
        </w:rPr>
        <w:t>Property level operating expenses as shown in our condensed consolidated income statements were as follows (in thousands):</w:t>
      </w:r>
    </w:p>
    <w:tbl>
      <w:tblPr>
        <w:tblLayout w:type="fixed"/>
        <w:tblInd w:w="4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3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370,998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307,298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63,700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20.7 %</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968,716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845,599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123,117</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14.6 %</w:t>
            </w:r>
          </w:p>
        </w:tc>
        <w:tc>
          <w:tcPr>
            <w:tcW w:w="0" w:type="dxa"/>
            <w:vAlign w:val="bottom"/>
          </w:tcPr>
          <w:p>
            <w:pPr>
              <w:spacing w:after="0"/>
              <w:rPr>
                <w:sz w:val="1"/>
                <w:szCs w:val="1"/>
                <w:color w:val="auto"/>
              </w:rPr>
            </w:pPr>
          </w:p>
        </w:tc>
      </w:tr>
      <w:tr>
        <w:trPr>
          <w:trHeight w:val="148"/>
        </w:trPr>
        <w:tc>
          <w:tcPr>
            <w:tcW w:w="19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Non-Stabilized</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106,539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68,329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38,210</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55.9 %</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277,660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182,702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94,958</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52.0 %</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Utilities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477,537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375,627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101,910</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1,246,376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1,028,301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218,075</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Stabilized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222,124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215,454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650,600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609,887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40,713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49"/>
        </w:trPr>
        <w:tc>
          <w:tcPr>
            <w:tcW w:w="19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Non-Stabilized</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82,069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62,838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30.6 %</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211,116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174,728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36,388</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2"/>
                <w:szCs w:val="12"/>
                <w:color w:val="auto"/>
              </w:rPr>
              <w:t>Total Rental property</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and maintenance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304,193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861,716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(excluding utilities)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Total Rental property operating</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781,730</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653,919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2,108,092</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1,812,916</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295,176</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maintenance</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Stabilized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52,030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49"/>
        </w:trPr>
        <w:tc>
          <w:tcPr>
            <w:tcW w:w="19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Non-Stabilized</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6,656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6,376</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95.8 %</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7,918</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2"/>
                <w:szCs w:val="12"/>
                <w:color w:val="auto"/>
              </w:rPr>
              <w:t>Total Property taxes and</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65,062</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56,331</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184,729</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164,186</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insurance</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560"/>
              <w:spacing w:after="0" w:line="126" w:lineRule="exact"/>
              <w:rPr>
                <w:sz w:val="20"/>
                <w:szCs w:val="20"/>
                <w:color w:val="auto"/>
              </w:rPr>
            </w:pPr>
            <w:r>
              <w:rPr>
                <w:rFonts w:ascii="Times New Roman" w:cs="Times New Roman" w:eastAsia="Times New Roman" w:hAnsi="Times New Roman"/>
                <w:sz w:val="14"/>
                <w:szCs w:val="14"/>
                <w:color w:val="auto"/>
              </w:rPr>
              <w:t>Total property level</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846,792</w:t>
            </w:r>
          </w:p>
        </w:tc>
        <w:tc>
          <w:tcPr>
            <w:tcW w:w="3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710,250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136,542</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2,292,821</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1,977,102</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315,719</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ind w:left="560"/>
              <w:spacing w:after="0" w:line="158" w:lineRule="exact"/>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Property level operating expenses include costs to operate and maintain the properties in our portfolio as well as property taxes and insurance.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Total Utilities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Total stabilized utilities expenses increased by approximately $63.7 million and $123.1 million in the three and nine months ended September 30, 2026, respectively, compared to the same periods in 2025. The increase was primarily due to higher power pricing at certain properties in the stabilized portfolio, mainly in EMEA and APAC, offset by rebates received mainly in EMEA.</w:t>
      </w:r>
    </w:p>
    <w:p>
      <w:pPr>
        <w:spacing w:after="0" w:line="180"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Total non-stabilized utilities expenses increased by approximately $38.2 million and $95.0 million in the three and nine months ended September 30, 2026, respectively, compared to the same periods in 2025 primarily due to:</w:t>
      </w:r>
    </w:p>
    <w:p>
      <w:pPr>
        <w:spacing w:after="0" w:line="162" w:lineRule="exact"/>
        <w:rPr>
          <w:sz w:val="20"/>
          <w:szCs w:val="20"/>
          <w:color w:val="auto"/>
        </w:rPr>
      </w:pPr>
    </w:p>
    <w:p>
      <w:pPr>
        <w:ind w:left="640" w:right="479" w:hanging="320"/>
        <w:spacing w:after="0" w:line="257"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$43.5 million and $110.3 million due to higher utility consumption in a growing portfolio of recently completed development sites (with the biggest contributions in Northern Virginia, Paris, Frankfurt and Johannesburg); offset by</w:t>
      </w:r>
    </w:p>
    <w:p>
      <w:pPr>
        <w:spacing w:after="0" w:line="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$0.5 million and $11.7 million related to properties sold or contributed after September 30, 2025.</w:t>
      </w:r>
    </w:p>
    <w:p>
      <w:pPr>
        <w:spacing w:after="0" w:line="20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EMEA, APAC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Total Rental Property Operating and Maintenance (Excluding Utilities)</w:t>
      </w:r>
    </w:p>
    <w:p>
      <w:pPr>
        <w:spacing w:after="0" w:line="22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Total stabilized rental property operating and maintenance expenses (excluding utilities) increased by approximately $6.7 million and $40.7 million in the three and nine months ended September 30, 2026, respectively, compared to the same periods in 2025 primarily due to increases in building operations expense, common area maintenance expense and data center labor.</w:t>
      </w:r>
    </w:p>
    <w:p>
      <w:pPr>
        <w:spacing w:after="0" w:line="7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Total non-stabilized rental property operating and maintenance expenses (excluding utilities) increased by approximately $19.2 million and $36.4 million in the three and nine months ended September 30, 2026, respectively, compared to the same periods in 2025 primarily due to increases in data center labor expense throughout the portfolio.</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Total Property Taxes and Insurance</w:t>
      </w:r>
    </w:p>
    <w:p>
      <w:pPr>
        <w:spacing w:after="0" w:line="26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Total stabilized property taxes and insurance increased by approximately $2.4 million and $12.6 million in the three and nine months ended September 30, 2026, respectively, compared to the same periods in 2025, due to timing of property tax assessments throughout our North American portfolio, primarily in Northern Virginia.</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54"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Other operating expenses include costs which are either non-cash in nature (such as depreciation and amortization) or which do not directly pertain to operation of data center properties. A comparison of other operating expenses for the respective periods is shown below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32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 Change</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539,471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497,002</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42,469</w:t>
            </w: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8.5 %</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1,546,088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1,401,178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144,910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31,582</w:t>
            </w:r>
          </w:p>
        </w:tc>
        <w:tc>
          <w:tcPr>
            <w:tcW w:w="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485,745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401,262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84,483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21.1 %</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Transactions and integration</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48,961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86,559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(37,598)</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149,007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(45,658)</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9"/>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10,106</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280.4 %</w:t>
            </w:r>
          </w:p>
        </w:tc>
        <w:tc>
          <w:tcPr>
            <w:tcW w:w="0" w:type="dxa"/>
            <w:vAlign w:val="bottom"/>
          </w:tcPr>
          <w:p>
            <w:pPr>
              <w:spacing w:after="0"/>
              <w:rPr>
                <w:sz w:val="1"/>
                <w:szCs w:val="1"/>
                <w:color w:val="auto"/>
              </w:rPr>
            </w:pPr>
          </w:p>
        </w:tc>
      </w:tr>
      <w:tr>
        <w:trPr>
          <w:trHeight w:val="142"/>
        </w:trPr>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other operating expenses</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761,898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728,563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33,335</w:t>
            </w: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4.6 %</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2,148,892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1,955,051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193,841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26"/>
        </w:trPr>
        <w:tc>
          <w:tcPr>
            <w:tcW w:w="19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property level operating</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846,792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710,250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136,542</w:t>
            </w:r>
          </w:p>
        </w:tc>
        <w:tc>
          <w:tcPr>
            <w:tcW w:w="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2,292,821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1,977,102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315,719</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71"/>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1,608,690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1,438,813</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169,877</w:t>
            </w:r>
          </w:p>
        </w:tc>
        <w:tc>
          <w:tcPr>
            <w:tcW w:w="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11.8 %</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4,441,713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3,932,153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509,560</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$31.6 million and $84.5 million in the three and nine months ended September 30, 2026, respectively, compared to the same periods in 2025 due to higher head count along with increased information technology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and Integration</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Transactions and integration expenses decreased by $37.6 million and $45.7 million for the three and nine months ended September 30, 2026, respectively, compared to the corresponding periods in 2025, primarily due to higher placement fees associated with securing capital commitments to the Fund and lease termination expenses incurred in connection with acquisitions in 2025, partially offset by transaction expenses incurred in 2026, including $22.7 million related to the Columbia Capital Acquisition.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 Earnings (Loss) of Unconsolidated Entities</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change in Equity in earnings (loss) of unconsolidated entities was approximately $1.5 million and $16.4 million in the three and nine months ended September 30, 2026, respectively, compared to the same periods in 2025. The foreign exchange remeasurement of debt associated with our unconsolidated Ascenty entity creates volatility in our equity in earnings and drove this fluctuation, as well as higher income in two of our unconsolidated joint ventures in the Americas region.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Other income, net decreased $35.8 million and increased $77.0 million in the three and nine months ended September 30, 2026, respectively, compared to the same periods in 2025. The decrease in the three-month period was associated with lower interest income due to lower money market balances, while the increase in the nine-month period was driven primarily by insurance proceeds received in 2026 for business interruption lost revenue, coupled with insurance proceeds for property damage at a data center in Singapore.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 decreased $20.3 million and increased $2.2 million in the three and nine months ended</w:t>
      </w:r>
    </w:p>
    <w:p>
      <w:pPr>
        <w:spacing w:after="0" w:line="27" w:lineRule="exact"/>
        <w:rPr>
          <w:sz w:val="20"/>
          <w:szCs w:val="20"/>
          <w:color w:val="auto"/>
        </w:rPr>
      </w:pPr>
    </w:p>
    <w:p>
      <w:pPr>
        <w:ind w:left="60" w:right="379"/>
        <w:spacing w:after="0" w:line="252" w:lineRule="auto"/>
        <w:rPr>
          <w:sz w:val="20"/>
          <w:szCs w:val="20"/>
          <w:color w:val="auto"/>
        </w:rPr>
      </w:pPr>
      <w:r>
        <w:rPr>
          <w:rFonts w:ascii="Times New Roman" w:cs="Times New Roman" w:eastAsia="Times New Roman" w:hAnsi="Times New Roman"/>
          <w:sz w:val="18"/>
          <w:szCs w:val="18"/>
          <w:color w:val="auto"/>
        </w:rPr>
        <w:t>September 30, 2026, respectively, compared to the same periods in 2025 driven by higher capitalized interest due to increased construction activity, primarily at the properties associated with the June 2026 Acquisition, offset by higher unsecured senior notes interest expense tied to i) Euro Notes issued in June 2025 — €850 million aggregate principal amount of 3.875% Guaranteed Notes due 2034 and ii) Euro Notes issued in November 2025 — €600 million aggregate principal amount of 3.750% Guaranteed Notes due 2033 and €800 million aggregate principal amount of 4.250% Guaranteed Notes due 2037 along with interest expense related to debt assumed in the June 2026 Acquisition.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Debt Extinguishment and Modifications</w:t>
      </w:r>
    </w:p>
    <w:p>
      <w:pPr>
        <w:spacing w:after="0" w:line="22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March 2026, we voluntarily paid down Teraco debt of $53 million. The paydown resulted in a loss on debt extinguishment and modifications of approximately $4.1 million. We incurred no losses on debt extinguishment and debt modifications in the three months ended September 30, 2026.</w:t>
      </w:r>
    </w:p>
    <w:p>
      <w:pPr>
        <w:spacing w:after="0" w:line="176" w:lineRule="exact"/>
        <w:rPr>
          <w:sz w:val="20"/>
          <w:szCs w:val="20"/>
          <w:color w:val="auto"/>
        </w:rPr>
      </w:pPr>
    </w:p>
    <w:p>
      <w:pPr>
        <w:ind w:left="60" w:right="1399"/>
        <w:spacing w:after="0" w:line="282" w:lineRule="auto"/>
        <w:rPr>
          <w:sz w:val="20"/>
          <w:szCs w:val="20"/>
          <w:color w:val="auto"/>
        </w:rPr>
      </w:pPr>
      <w:r>
        <w:rPr>
          <w:rFonts w:ascii="Times New Roman" w:cs="Times New Roman" w:eastAsia="Times New Roman" w:hAnsi="Times New Roman"/>
          <w:sz w:val="18"/>
          <w:szCs w:val="18"/>
          <w:color w:val="auto"/>
        </w:rPr>
        <w:t>We incurred no losses on debt extinguishment and debt modifications in the three and nine months ended September 30,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expense decreased $2.9 million and increased $16.7 million in the three and nine months ended</w:t>
      </w:r>
    </w:p>
    <w:p>
      <w:pPr>
        <w:spacing w:after="0" w:line="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September 30, 2026, respectively, compared to the same periods in 2025. Both changes were driven by the jurisdictional rate mix within the global group. Furthermore, the nine-month increase, compared to the same period in 2025, was primarily attributable to tax expense associated with the insurance settlement proceeds related to one of our facilities in Singapore. We carried out an analysis for the purposes of the Model GloBE Rules for Pillar Two and no material top-up tax is expected.</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 of September 30, 2026, we are under examination for the taxable year ended December 31, 2021 within the United States, except that the examination of our Parent for such taxable year was closed with a no change determination on April 21, 2026. Additionally, we are under examination for various taxable years ended 2017 and onward within various foreign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Analysis of Liquidity and Capital Resources — Parent</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spacing w:after="0" w:line="18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Our Parent’s principal funding requirement is the payment of dividends on its common and preferred stock. Our Parent’s principal source of funding is the distributions it receives from our Operating Partnership.</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76"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Our Parent and our Operating Partnership were parties to an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December 23, 2024 (the “2024 Sales Agreement”). Pursuant to the 2024 Sales Agreement, Digital Realty Trust, Inc. could issue and sell common stock having an aggregate offering price of up to $3.0 billion through various named agents from time to time. From January 1, 2026 through May 3, 2026, Digital Realty Trust, Inc. generated net proceeds of approximately $1.3 billion from the issuance of approximately 7.3 million common shares under the 2024 Sales Agreement at an average price of $179.30 per share after payment of approximately $6.4 million of commissions to the agents.</w:t>
      </w:r>
    </w:p>
    <w:p>
      <w:pPr>
        <w:spacing w:after="0" w:line="195" w:lineRule="exact"/>
        <w:rPr>
          <w:sz w:val="20"/>
          <w:szCs w:val="20"/>
          <w:color w:val="auto"/>
        </w:rPr>
      </w:pPr>
    </w:p>
    <w:p>
      <w:pPr>
        <w:ind w:left="60" w:right="59"/>
        <w:spacing w:after="0" w:line="242" w:lineRule="auto"/>
        <w:rPr>
          <w:sz w:val="20"/>
          <w:szCs w:val="20"/>
          <w:color w:val="auto"/>
        </w:rPr>
      </w:pPr>
      <w:r>
        <w:rPr>
          <w:rFonts w:ascii="Times New Roman" w:cs="Times New Roman" w:eastAsia="Times New Roman" w:hAnsi="Times New Roman"/>
          <w:sz w:val="18"/>
          <w:szCs w:val="18"/>
          <w:color w:val="auto"/>
        </w:rPr>
        <w:t>On May 4, 2026, our Parent and our Operating Partnership entered into a new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“2026 Sales Agreement”), pursuant to which, Digital Realty Trust, Inc. can issue and sell common stock having an aggregate offering price of up to $7.5 billion through various named agents from time to time. The 2024 Sales Agreement was terminated in connection with entry into the 2026 Sales Agreement, and at the time of such termination, $569.9 million remained unsold under the 2024 Sales Agreement. From May 4, 2026 through September 30, 2026, Digital Realty Trust, Inc. generated net proceeds of approximately $1.6 billion from the issuance of approximately 8.6 million common shares under the 2026 Sales Agreement at an average price of $191.69 per share after payment of approximately $9.0 million of commissions to the agents. As of September 30, 2026, $5.9 billion remains available for future sales under the 2026 Sales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sales of common stock made under the 2026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Uses of Cash — Parent</w:t>
      </w:r>
    </w:p>
    <w:p>
      <w:pPr>
        <w:spacing w:after="0" w:line="227"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 and Distributions — Parent</w:t>
      </w:r>
    </w:p>
    <w:p>
      <w:pPr>
        <w:spacing w:after="0" w:line="227"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in a manner consistent with our intention to maintain our Parent’s status as a REIT.</w:t>
      </w:r>
    </w:p>
    <w:p>
      <w:pPr>
        <w:spacing w:after="0" w:line="17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dividends declared and paid by our Parent on its common and preferred stock for the nine months ended September 30, 2026, see Note 11. “Equity and Capital” to our condensed consolidated financial statements contained 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Analysis of Liquidity and Capital Resources — Operating Partnership</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of September 30, 2026, we had $802.9 million of cash and cash equivalents, excluding $3.4 million of restricted cash. Restricted cash primarily consists of contractual capital expenditures plus other deposits and is included in Other assets on our Condensed Consolidated Balance Sheets. As circumstances warrant, our Operating Partnership may dispose of stabilized assets or enter into joint venture arrangements with institutional investors or strategic partners, on an opportunistic basis dependent upon market conditions. Our Operating Partnership may use the proceeds from such dispositions to acquire additional properties, to fund development opportunities and for general working capital purposes, including the repayment of indebtedness. Our liquidity requirements primarily consist of:</w:t>
      </w:r>
    </w:p>
    <w:p>
      <w:pPr>
        <w:spacing w:after="0" w:line="189" w:lineRule="exact"/>
        <w:rPr>
          <w:sz w:val="20"/>
          <w:szCs w:val="20"/>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27"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and other expenditures associated with our properties, including joint ventures;</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Parent to enable it to make dividend payments;</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unitholders of common limited partnership interests in Digital Realty Trust, L.P.;</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acquisitions.</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Global Revolving Credit Facilities provide for borrowings up to $4.5 billion (including approximately $0.3 billion available to be drawn on the Yen Revolving Credit Facility) based on currency commitments and foreign exchange rates as of September 30, 2026. The Global Revolving Credit Facility provides for borrowings in a variety of currencies and can be increased by an additional $1.8 billion, subject to receipt of lender commitments and other conditions precedent. Both facilities mature on January 24, 2029, with two six-month extension options available.</w:t>
      </w:r>
    </w:p>
    <w:p>
      <w:pPr>
        <w:spacing w:after="0" w:line="183"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These facilities also feature a sustainability-linked pricing component, with pricing subject to adjustment based on annual performance targets, further demonstrating our continued leadership and commitment to sustainable business practices.</w:t>
      </w:r>
    </w:p>
    <w:p>
      <w:pPr>
        <w:spacing w:after="0" w:line="14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Facilities, see Note 9. “Debt of the Operating Partnership” in the Notes to our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Uses of Cash</w:t>
      </w:r>
    </w:p>
    <w:p>
      <w:pPr>
        <w:spacing w:after="0" w:line="227"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Our properties require periodic investments of capital for customer-related capital expenditures and for general capital improvements. Depending upon customer demand, we expect to incur significant improvement costs to build out and develop additional capacity. At September 30, 2026, we had open commitments, related to construction contracts of approximately $4.1 billion, including amounts reimbursable of approximately $314.0 million.</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For the remainder of 2026, we currently expect to incur approximately $0.8 billion to $1.2 billion of capital expenditures, which includes our share of joint venture contributions and is net of partner contributions for our development programs. This amount could go up or down, potentially materially, based on numerous factors, including changes in demand, leasing results and availability of debt or equity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Projects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investing in our portfolio, which includes consolidated and unconsolidated projects, to organically expand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capacity. As of September 30, 2026, we had 1,464 megawatts of projects underway across multiple metropolitan areas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around the world, representing an approximately 90% increase of capacity under development as compared to December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2025. As of September 30, 2026, 63% of the 1,464 megawatts of projects underway was pre-leased.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we had over eight gigawatts of additional future development capacity, of which approximately 70%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came from locations with more than 100 megawatts of buildable capacity, 20% came from locations with between 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megawatts and 100 megawatts of buildable capacity and 10% came from locations with less than 25 megawatts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buildable capacity. As of September 30, 2026, we estimate that the pre-tax stabilized cash yields on our total 1,464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megawatts of capacity under construction across the world is approximately 11.6%. Pre-tax estimated stabilized cash yields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are based on total expected investment amounts and anticipated net operating income from leases signed or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assumptions based on market conditions. We calculate the anticipated stabilized net operating income for any given project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subtracting the project’s estimated stabilized operating expenses and depreciation and amortization from its estimated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stabilized revenue, which we estimate based on leases signed and other assumptions based on market conditions. No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assurance can be given that we will complete any of these projects on the terms currently contemplated, or at all, that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actual cost of any of these projects will not exceed our estimates or that the actual yield achieved by such projects will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consistent with our estimates.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 Expenditures (Cash Basis)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table below summarizes our capital expenditure activity for the nine months ended September 30, 2026 and 2025 (in thousands):</w:t>
      </w:r>
    </w:p>
    <w:tbl>
      <w:tblPr>
        <w:tblLayout w:type="fixed"/>
        <w:tblInd w:w="40" w:type="dxa"/>
        <w:tblCellMar>
          <w:top w:w="0" w:type="dxa"/>
          <w:left w:w="0" w:type="dxa"/>
          <w:bottom w:w="0" w:type="dxa"/>
          <w:right w:w="0" w:type="dxa"/>
        </w:tblCellMar>
      </w:tblPr>
      <w:tr>
        <w:trPr>
          <w:trHeight w:val="162"/>
        </w:trPr>
        <w:tc>
          <w:tcPr>
            <w:tcW w:w="5240" w:type="dxa"/>
            <w:vAlign w:val="bottom"/>
            <w:vMerge w:val="restart"/>
          </w:tcPr>
          <w:p>
            <w:pPr>
              <w:ind w:left="5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projects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2,631,599</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1,784,380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Enhancement and improvements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capital expenditures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242,128</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175,386</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 (excluding indirect costs)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2,889,928</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development capital expenditures are generally funded by our available cash and equity and debt capital.</w:t>
      </w:r>
    </w:p>
    <w:p>
      <w:pPr>
        <w:spacing w:after="0" w:line="22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Indirect costs, including interest, capitalized in the nine months ended September 30, 2026 and 2025 were $276.3 million and $195.3 million, respectively. Capitalized interest comprised approximately $143.7 million and $92.4 million of the total indirect costs capitalized for the nine months ended September 30, 2026 and 2025, respectively. Capitalized interest in the nine months ended September 30, 2026 increased, compared to the same period in 2025, due to an increase in qualifying activities and higher interest rates.</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Excluding capitalized interest, indirect costs in the nine months ended September 30, 2026 increased compared to the same period in 2025 due primarily to capitalized amounts relating to compensation expense of employees directly engaged in construction activities. See “Future Uses of Cash” for a discussion of the amount of capital expenditures we expect to incur during the year ending December 31, 2026.</w:t>
      </w:r>
    </w:p>
    <w:p>
      <w:pPr>
        <w:spacing w:after="0" w:line="180" w:lineRule="exact"/>
        <w:rPr>
          <w:sz w:val="20"/>
          <w:szCs w:val="20"/>
          <w:color w:val="auto"/>
        </w:rPr>
      </w:pPr>
    </w:p>
    <w:p>
      <w:pPr>
        <w:ind w:left="60" w:right="739"/>
        <w:spacing w:after="0" w:line="261" w:lineRule="auto"/>
        <w:rPr>
          <w:sz w:val="20"/>
          <w:szCs w:val="20"/>
          <w:color w:val="auto"/>
        </w:rPr>
      </w:pPr>
      <w:r>
        <w:rPr>
          <w:rFonts w:ascii="Times New Roman" w:cs="Times New Roman" w:eastAsia="Times New Roman" w:hAnsi="Times New Roman"/>
          <w:sz w:val="18"/>
          <w:szCs w:val="18"/>
          <w:color w:val="auto"/>
        </w:rPr>
        <w:t>Consistent with our growth strategy, we actively pursue potential acquisition opportunities, with due diligence and negotiations often at different stages at different times. The dollar value of acquisitions for the year ending</w:t>
      </w: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December 31, 2026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7" w:lineRule="exact"/>
        <w:rPr>
          <w:sz w:val="20"/>
          <w:szCs w:val="20"/>
          <w:color w:val="auto"/>
        </w:rPr>
      </w:pPr>
    </w:p>
    <w:p>
      <w:pPr>
        <w:ind w:left="60" w:right="159"/>
        <w:spacing w:after="0" w:line="274" w:lineRule="auto"/>
        <w:rPr>
          <w:sz w:val="20"/>
          <w:szCs w:val="20"/>
          <w:color w:val="auto"/>
        </w:rPr>
      </w:pPr>
      <w:r>
        <w:rPr>
          <w:rFonts w:ascii="Times New Roman" w:cs="Times New Roman" w:eastAsia="Times New Roman" w:hAnsi="Times New Roman"/>
          <w:sz w:val="17"/>
          <w:szCs w:val="17"/>
          <w:color w:val="auto"/>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October 27, 2026, we had approximately $4.0 billion of borrowings available under our Global Revolving Credit Facilities.</w:t>
      </w:r>
    </w:p>
    <w:p>
      <w:pPr>
        <w:spacing w:after="0" w:line="173"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On October 6, 2026, Digital Constellation B.V., an indirect wholly owned finance subsidiary of the Operating Partnership, issued and sold CHF225 million aggregate principal amount of 1.6803% Guaranteed Notes due 2029, CHF185 million aggregate principal amount of 2.0600% Guaranteed Notes due 2032 and CHF100 million aggregate principal amount of</w:t>
      </w:r>
    </w:p>
    <w:p>
      <w:pPr>
        <w:spacing w:after="0" w:line="2"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2.4150% Guaranteed Notes due 2036. Net proceeds from the offering were CHF508.4 million (approximately $611 million based on the exchange rate on October 6, 2026) after deducting the managers’ commissions and certain offering expenses.</w:t>
      </w:r>
    </w:p>
    <w:p>
      <w:pPr>
        <w:spacing w:after="0" w:line="15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On October 9, 2026, Digital Euro Finco, LLC, a wholly owned indirect finance subsidiary of the Operating Partnership, issued and sold €1.0 billion aggregate principal amount of 5.125% Guaranteed Notes due 2036. Net proceeds from the offering were approximately €985.8 million (approximately $1.1 billion based on the exchange rate on October 9, 2026) after deducting managers’ discounts and estimated offering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All distributions on our units are at the discretion of our Parent’s Board of Directors. For additional information regarding distributions paid on our common and preferred units for the three and nine months ended September 30, 2026, see Note</w:t>
      </w:r>
    </w:p>
    <w:p>
      <w:pPr>
        <w:spacing w:after="0" w:line="1" w:lineRule="exact"/>
        <w:rPr>
          <w:sz w:val="20"/>
          <w:szCs w:val="20"/>
          <w:color w:val="auto"/>
        </w:rPr>
      </w:pPr>
    </w:p>
    <w:p>
      <w:pPr>
        <w:ind w:left="4420" w:right="2199" w:hanging="4370"/>
        <w:spacing w:after="0" w:line="761"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Capital” to our condensed consolidated financial statements contained herein.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Consolidated Indebtedness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table below summarizes our outstanding debt as of September 30, 2026 (in millions):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6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Summary:</w:t>
            </w:r>
          </w:p>
        </w:tc>
        <w:tc>
          <w:tcPr>
            <w:tcW w:w="6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6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 subject to interest rate swaps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60" w:type="dxa"/>
            <w:vAlign w:val="bottom"/>
            <w:shd w:val="clear" w:color="auto" w:fill="CCEEFF"/>
          </w:tcPr>
          <w:p>
            <w:pPr>
              <w:spacing w:after="0"/>
              <w:rPr>
                <w:sz w:val="18"/>
                <w:szCs w:val="18"/>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rate debt (including interest rate swaps)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6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rate—unhedged</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60" w:type="dxa"/>
            <w:vAlign w:val="bottom"/>
            <w:shd w:val="clear" w:color="auto" w:fill="CCEEFF"/>
          </w:tcPr>
          <w:p>
            <w:pPr>
              <w:spacing w:after="0"/>
              <w:rPr>
                <w:sz w:val="18"/>
                <w:szCs w:val="18"/>
                <w:color w:val="auto"/>
              </w:rPr>
            </w:pPr>
          </w:p>
        </w:tc>
      </w:tr>
      <w:tr>
        <w:trPr>
          <w:trHeight w:val="24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60" w:type="dxa"/>
            <w:vAlign w:val="bottom"/>
            <w:tcBorders>
              <w:bottom w:val="single" w:sz="8" w:color="CCEEFF"/>
            </w:tcBorders>
          </w:tcPr>
          <w:p>
            <w:pPr>
              <w:spacing w:after="0"/>
              <w:rPr>
                <w:sz w:val="21"/>
                <w:szCs w:val="21"/>
                <w:color w:val="auto"/>
              </w:rPr>
            </w:pPr>
          </w:p>
        </w:tc>
      </w:tr>
      <w:tr>
        <w:trPr>
          <w:trHeight w:val="197"/>
        </w:trPr>
        <w:tc>
          <w:tcPr>
            <w:tcW w:w="6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 of Total Debt: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(including swapped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6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Interest Rate as of September 30, 2026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(including hedged variable rate debt)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ratio of debt to total enterprise value was approximately 22.4% (based on the closing price of Digital Realty Trust, Inc.’s common stock on September 30, 2026 of $175.53).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Digital Realty Trust, L.P.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variable rate debt shown above bears interest based on various one-month EURIBOR, BBR, TIBOR, SARON and JIBAR rates and 91-day CD rate, depending on the respective agreement governing the debt, including our Global Revolving Credit Facilities and unsecured term loans. As of September 30, 2026, our debt had a weighted average term to initial maturity of approximately 4.0 years (or approximately 4.2 years assuming exercise of extension options).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2026, our pro-rata share of secured debt of unconsolidated entities was approximately $2.1 billion.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key financial covenants for our senior unsecured notes, as defined and calculated per the terms of our senior notes. These calculations, which are not based on U.S. GAAP, are presented to show our ability to incur additional debt under the terms of our senior notes as well as to disclose our current compliance with such covenants and are not measures of our liquidity or performance. The actual amounts as of September 30, 2026, are:</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Unsecured</w:t>
            </w:r>
          </w:p>
        </w:tc>
      </w:tr>
      <w:tr>
        <w:trPr>
          <w:trHeight w:val="189"/>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Senior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Senior Notes</w:t>
            </w:r>
          </w:p>
        </w:tc>
      </w:tr>
      <w:tr>
        <w:trPr>
          <w:trHeight w:val="232"/>
        </w:trPr>
        <w:tc>
          <w:tcPr>
            <w:tcW w:w="3740" w:type="dxa"/>
            <w:vAlign w:val="bottom"/>
            <w:gridSpan w:val="2"/>
          </w:tcPr>
          <w:p>
            <w:pPr>
              <w:ind w:left="6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Debt Covenant Ratios </w:t>
            </w:r>
            <w:r>
              <w:rPr>
                <w:rFonts w:ascii="Times New Roman" w:cs="Times New Roman" w:eastAsia="Times New Roman" w:hAnsi="Times New Roman"/>
                <w:sz w:val="24"/>
                <w:szCs w:val="24"/>
                <w:b w:val="1"/>
                <w:bCs w:val="1"/>
                <w:color w:val="auto"/>
                <w:vertAlign w:val="superscript"/>
              </w:rPr>
              <w:t>(1)</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140"/>
              <w:spacing w:after="0" w:line="232" w:lineRule="exact"/>
              <w:rPr>
                <w:sz w:val="20"/>
                <w:szCs w:val="20"/>
                <w:color w:val="auto"/>
              </w:rPr>
            </w:pPr>
            <w:r>
              <w:rPr>
                <w:rFonts w:ascii="Times New Roman" w:cs="Times New Roman" w:eastAsia="Times New Roman" w:hAnsi="Times New Roman"/>
                <w:sz w:val="16"/>
                <w:szCs w:val="16"/>
                <w:b w:val="1"/>
                <w:bCs w:val="1"/>
                <w:color w:val="auto"/>
                <w:w w:val="96"/>
              </w:rPr>
              <w:t>8.25% Cap</w:t>
            </w:r>
            <w:r>
              <w:rPr>
                <w:rFonts w:ascii="Times New Roman" w:cs="Times New Roman" w:eastAsia="Times New Roman" w:hAnsi="Times New Roman"/>
                <w:sz w:val="24"/>
                <w:szCs w:val="24"/>
                <w:b w:val="1"/>
                <w:bCs w:val="1"/>
                <w:color w:val="auto"/>
                <w:w w:val="96"/>
                <w:vertAlign w:val="superscript"/>
              </w:rPr>
              <w:t>(2)</w:t>
            </w:r>
          </w:p>
        </w:tc>
        <w:tc>
          <w:tcPr>
            <w:tcW w:w="174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6"/>
              </w:rPr>
              <w:t>7.25% Cap</w:t>
            </w:r>
            <w:r>
              <w:rPr>
                <w:rFonts w:ascii="Times New Roman" w:cs="Times New Roman" w:eastAsia="Times New Roman" w:hAnsi="Times New Roman"/>
                <w:sz w:val="24"/>
                <w:szCs w:val="24"/>
                <w:b w:val="1"/>
                <w:bCs w:val="1"/>
                <w:color w:val="auto"/>
                <w:w w:val="96"/>
                <w:vertAlign w:val="superscript"/>
              </w:rPr>
              <w:t>(3)</w:t>
            </w:r>
          </w:p>
        </w:tc>
      </w:tr>
      <w:tr>
        <w:trPr>
          <w:trHeight w:val="196"/>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outstanding debt / total assets</w:t>
            </w:r>
          </w:p>
        </w:tc>
        <w:tc>
          <w:tcPr>
            <w:tcW w:w="1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Less than 60%</w:t>
            </w:r>
          </w:p>
        </w:tc>
        <w:tc>
          <w:tcPr>
            <w:tcW w:w="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Secured debt / total assets</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Less than 40%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unencumbered assets / unsecured debt</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Greater than 150%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289%</w:t>
            </w: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318%</w:t>
            </w:r>
          </w:p>
        </w:tc>
      </w:tr>
      <w:tr>
        <w:trPr>
          <w:trHeight w:val="21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EBITDA / interest expense (4)</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Greater than 1.50x</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4.6 x</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0" w:lineRule="exact"/>
        <w:rPr>
          <w:sz w:val="20"/>
          <w:szCs w:val="20"/>
          <w:color w:val="auto"/>
        </w:rPr>
      </w:pPr>
    </w:p>
    <w:p>
      <w:pPr>
        <w:jc w:val="both"/>
        <w:ind w:left="380" w:right="239" w:hanging="330"/>
        <w:spacing w:after="0" w:line="257"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definitions of the terms used in the table above and related footnotes, please refer to the indentures which govern the notes, each as amended and which are filed as exhibits to our reports filed with the U.S. Securities and Exchange Commission.</w:t>
      </w:r>
    </w:p>
    <w:p>
      <w:pPr>
        <w:spacing w:after="0" w:line="1" w:lineRule="exact"/>
        <w:rPr>
          <w:rFonts w:ascii="Times New Roman" w:cs="Times New Roman" w:eastAsia="Times New Roman" w:hAnsi="Times New Roman"/>
          <w:sz w:val="18"/>
          <w:szCs w:val="18"/>
          <w:color w:val="auto"/>
        </w:rPr>
      </w:pPr>
    </w:p>
    <w:p>
      <w:pPr>
        <w:ind w:left="380" w:right="139" w:hanging="330"/>
        <w:spacing w:after="0" w:line="25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for the Unsecured Senior Notes except for the 0.20% notes due 2026, 1.70% notes due 2027, 5.550% notes due 2028, 0.55% notes due 2029, 1.875% notes due 2029, 1.250% notes due 2031, 0.625% notes due 2031, 1.00% notes due 2032, 1.375% notes due 2032, 3.750% notes due 2033, 3.875% notes due 2033, 3.875% notes due 2034, 3.875% notes due 2035 and 4.250% notes due 2037.</w:t>
      </w:r>
    </w:p>
    <w:p>
      <w:pPr>
        <w:spacing w:after="0" w:line="1" w:lineRule="exact"/>
        <w:rPr>
          <w:rFonts w:ascii="Times New Roman" w:cs="Times New Roman" w:eastAsia="Times New Roman" w:hAnsi="Times New Roman"/>
          <w:sz w:val="18"/>
          <w:szCs w:val="18"/>
          <w:color w:val="auto"/>
        </w:rPr>
      </w:pPr>
    </w:p>
    <w:p>
      <w:pPr>
        <w:ind w:left="380" w:right="219" w:hanging="330"/>
        <w:spacing w:after="0" w:line="265"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Ratios for the 0.20% notes due 2026, 1.70% notes due 2027, 5.550% notes due 2028, 0.55% notes due 2029, 1.875% notes due 2029, 1.250% notes due 2031, 0.625% notes due 2031, 1.00% notes due 2032, 1.375% notes due 2032,</w:t>
      </w:r>
    </w:p>
    <w:p>
      <w:pPr>
        <w:ind w:left="380" w:right="27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3.750% notes due 2033, 3.875% notes due 2033, 3.875% notes due 2034, 3.875% notes due 2035 and 4.250% notes due 2037.</w:t>
      </w:r>
    </w:p>
    <w:p>
      <w:pPr>
        <w:ind w:left="380" w:right="739" w:hanging="330"/>
        <w:spacing w:after="0" w:line="26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current quarter annualized consolidated EBITDA to current quarter annualized Interest Expense (including capitalized interest and debt discounts).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following summary discussion of our cash flows is based on the condensed consolidated statements of cash flows and is not meant to be an all-inclusive discussion of the changes in our cash flows for the periods presented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Comparison of Nine Months Ended September 30, 2026 to Nine Months Ended September 30, 2025</w:t>
      </w:r>
    </w:p>
    <w:p>
      <w:pPr>
        <w:spacing w:after="0" w:line="227"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shows cash flows and ending cash, cash equivalents and restricted cash balances for the respective periods (in thousands):</w:t>
      </w: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6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1,977,486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1,693,183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284,303</w:t>
            </w:r>
          </w:p>
        </w:tc>
        <w:tc>
          <w:tcPr>
            <w:tcW w:w="20" w:type="dxa"/>
            <w:vAlign w:val="bottom"/>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(6,601,947)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(1,471,398)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(5,130,549)</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(638,670)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2,582,064</w:t>
            </w:r>
          </w:p>
        </w:tc>
        <w:tc>
          <w:tcPr>
            <w:tcW w:w="20" w:type="dxa"/>
            <w:vAlign w:val="bottom"/>
          </w:tcPr>
          <w:p>
            <w:pPr>
              <w:spacing w:after="0"/>
              <w:rPr>
                <w:sz w:val="18"/>
                <w:szCs w:val="18"/>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(2,681,067)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(2,264,182)</w:t>
            </w:r>
          </w:p>
        </w:tc>
        <w:tc>
          <w:tcPr>
            <w:tcW w:w="20" w:type="dxa"/>
            <w:vAlign w:val="bottom"/>
            <w:tcBorders>
              <w:bottom w:val="single" w:sz="8" w:color="auto"/>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provided by operating activities increased primarily due to:</w:t>
      </w:r>
    </w:p>
    <w:p>
      <w:pPr>
        <w:spacing w:after="0" w:line="27" w:lineRule="exact"/>
        <w:rPr>
          <w:sz w:val="20"/>
          <w:szCs w:val="20"/>
          <w:color w:val="auto"/>
        </w:rPr>
      </w:pPr>
    </w:p>
    <w:p>
      <w:pPr>
        <w:ind w:left="720" w:right="23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revenues due to the completion of our global development pipeline and related lease up operating activities;</w:t>
      </w: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the net impact of properties sold and contributed in 2025 and 2026.</w:t>
      </w:r>
    </w:p>
    <w:p>
      <w:pPr>
        <w:spacing w:after="0" w:line="207" w:lineRule="exact"/>
        <w:rPr>
          <w:sz w:val="20"/>
          <w:szCs w:val="20"/>
          <w:color w:val="auto"/>
        </w:rPr>
      </w:pPr>
    </w:p>
    <w:p>
      <w:pPr>
        <w:ind w:left="60" w:right="299"/>
        <w:spacing w:after="0" w:line="257" w:lineRule="auto"/>
        <w:rPr>
          <w:sz w:val="20"/>
          <w:szCs w:val="20"/>
          <w:color w:val="auto"/>
        </w:rPr>
      </w:pPr>
      <w:r>
        <w:rPr>
          <w:rFonts w:ascii="Times New Roman" w:cs="Times New Roman" w:eastAsia="Times New Roman" w:hAnsi="Times New Roman"/>
          <w:sz w:val="18"/>
          <w:szCs w:val="18"/>
          <w:color w:val="auto"/>
        </w:rPr>
        <w:t>The changes in the activities that comprise the increase in net cash used in investing activities for the nine months ended September 30, 2026 as compared to the nine months ended September 30, 2025 consisted of the following amounts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net cash used in business combinations / asset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cash used for improvements to investments in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7"/>
          <w:szCs w:val="17"/>
          <w:color w:val="auto"/>
        </w:rPr>
        <w:t>Increase in cash contributed to investments in unconsolidated entities, net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 in net cash provided by proceeds from sale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Other changes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Increase in net cash used in investing activities</w:t>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4147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2026 vs 2025</w:t>
      </w:r>
    </w:p>
    <w:p>
      <w:pPr>
        <w:spacing w:after="0" w:line="23" w:lineRule="exact"/>
        <w:rPr>
          <w:sz w:val="20"/>
          <w:szCs w:val="20"/>
          <w:color w:val="auto"/>
        </w:rPr>
      </w:pPr>
    </w:p>
    <w:p>
      <w:pPr>
        <w:ind w:left="1381" w:hanging="1381"/>
        <w:spacing w:after="0"/>
        <w:tabs>
          <w:tab w:leader="none" w:pos="13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(2,655,937)</w:t>
      </w:r>
    </w:p>
    <w:p>
      <w:pPr>
        <w:spacing w:after="0" w:line="22" w:lineRule="exact"/>
        <w:rPr>
          <w:rFonts w:ascii="Times New Roman" w:cs="Times New Roman" w:eastAsia="Times New Roman" w:hAnsi="Times New Roman"/>
          <w:sz w:val="18"/>
          <w:szCs w:val="18"/>
          <w:color w:val="auto"/>
        </w:rPr>
      </w:pPr>
    </w:p>
    <w:p>
      <w:pPr>
        <w:ind w:left="15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(987,194)</w:t>
      </w:r>
    </w:p>
    <w:p>
      <w:pPr>
        <w:spacing w:after="0" w:line="20" w:lineRule="exact"/>
        <w:rPr>
          <w:rFonts w:ascii="Times New Roman" w:cs="Times New Roman" w:eastAsia="Times New Roman" w:hAnsi="Times New Roman"/>
          <w:sz w:val="18"/>
          <w:szCs w:val="18"/>
          <w:color w:val="auto"/>
        </w:rPr>
      </w:pPr>
    </w:p>
    <w:p>
      <w:pPr>
        <w:ind w:left="15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(520,065)</w:t>
      </w:r>
    </w:p>
    <w:p>
      <w:pPr>
        <w:spacing w:after="0" w:line="20" w:lineRule="exact"/>
        <w:rPr>
          <w:rFonts w:ascii="Times New Roman" w:cs="Times New Roman" w:eastAsia="Times New Roman" w:hAnsi="Times New Roman"/>
          <w:sz w:val="18"/>
          <w:szCs w:val="18"/>
          <w:color w:val="auto"/>
        </w:rPr>
      </w:pPr>
    </w:p>
    <w:p>
      <w:pPr>
        <w:ind w:left="15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(979,475)</w:t>
      </w:r>
    </w:p>
    <w:p>
      <w:pPr>
        <w:spacing w:after="0" w:line="20" w:lineRule="exact"/>
        <w:rPr>
          <w:rFonts w:ascii="Times New Roman" w:cs="Times New Roman" w:eastAsia="Times New Roman" w:hAnsi="Times New Roman"/>
          <w:sz w:val="18"/>
          <w:szCs w:val="18"/>
          <w:color w:val="auto"/>
        </w:rPr>
      </w:pPr>
    </w:p>
    <w:p>
      <w:pPr>
        <w:ind w:left="16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4147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1381" w:hanging="1381"/>
        <w:spacing w:after="0"/>
        <w:tabs>
          <w:tab w:leader="none" w:pos="138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(5,130,549)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4147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4147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999" w:space="720"/>
            <w:col w:w="2300"/>
          </w:cols>
          <w:pgMar w:left="1440" w:top="513" w:right="1440" w:bottom="1440" w:gutter="0" w:footer="0" w:header="0"/>
          <w:type w:val="continuous"/>
        </w:sectPr>
      </w:pP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net cash used in investing activities was primarily due to:</w:t>
      </w:r>
    </w:p>
    <w:p>
      <w:pPr>
        <w:spacing w:after="0" w:line="27"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spend due to acquisitions of $2.9 billion in 2026 compared to $0.3 billion in 2025;</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spend on development projects and recurring capital expenditures of approximately $987 million;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contributed to various investments in unconsolidated entities;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cash provided by the sale or contributions of data centers due to:</w:t>
      </w:r>
    </w:p>
    <w:p>
      <w:pPr>
        <w:spacing w:after="0" w:line="9" w:lineRule="exact"/>
        <w:rPr>
          <w:rFonts w:ascii="Times New Roman" w:cs="Times New Roman" w:eastAsia="Times New Roman" w:hAnsi="Times New Roman"/>
          <w:sz w:val="18"/>
          <w:szCs w:val="18"/>
          <w:color w:val="auto"/>
        </w:rPr>
      </w:pPr>
    </w:p>
    <w:p>
      <w:pPr>
        <w:ind w:left="1100" w:hanging="334"/>
        <w:spacing w:after="0"/>
        <w:tabs>
          <w:tab w:leader="none" w:pos="11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$180 million provided for the nine months ended September 30, 2026:</w:t>
      </w:r>
    </w:p>
    <w:p>
      <w:pPr>
        <w:spacing w:after="0" w:line="9" w:lineRule="exact"/>
        <w:rPr>
          <w:rFonts w:ascii="Times New Roman" w:cs="Times New Roman" w:eastAsia="Times New Roman" w:hAnsi="Times New Roman"/>
          <w:sz w:val="18"/>
          <w:szCs w:val="18"/>
          <w:color w:val="auto"/>
        </w:rPr>
      </w:pPr>
    </w:p>
    <w:p>
      <w:pPr>
        <w:ind w:left="2180" w:hanging="321"/>
        <w:spacing w:after="0"/>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million from the contribution of two development projects to the Fund;</w:t>
      </w:r>
    </w:p>
    <w:p>
      <w:pPr>
        <w:spacing w:after="0" w:line="9" w:lineRule="exact"/>
        <w:rPr>
          <w:rFonts w:ascii="Times New Roman" w:cs="Times New Roman" w:eastAsia="Times New Roman" w:hAnsi="Times New Roman"/>
          <w:sz w:val="18"/>
          <w:szCs w:val="18"/>
          <w:color w:val="auto"/>
        </w:rPr>
      </w:pPr>
    </w:p>
    <w:p>
      <w:pPr>
        <w:ind w:left="2180" w:hanging="321"/>
        <w:spacing w:after="0"/>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from the sale of non-core data centers in the Boston and Atlanta metro areas;</w:t>
      </w:r>
    </w:p>
    <w:p>
      <w:pPr>
        <w:spacing w:after="0" w:line="9" w:lineRule="exact"/>
        <w:rPr>
          <w:rFonts w:ascii="Times New Roman" w:cs="Times New Roman" w:eastAsia="Times New Roman" w:hAnsi="Times New Roman"/>
          <w:sz w:val="18"/>
          <w:szCs w:val="18"/>
          <w:color w:val="auto"/>
        </w:rPr>
      </w:pPr>
    </w:p>
    <w:p>
      <w:pPr>
        <w:ind w:left="2180" w:hanging="321"/>
        <w:spacing w:after="0"/>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sale of an easement in the Northern Virginia metro area;</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approximately $1.2 billion provided for the nine months ended September 30, 2025:</w:t>
      </w:r>
    </w:p>
    <w:p>
      <w:pPr>
        <w:spacing w:after="0" w:line="9" w:lineRule="exact"/>
        <w:rPr>
          <w:rFonts w:ascii="Times New Roman" w:cs="Times New Roman" w:eastAsia="Times New Roman" w:hAnsi="Times New Roman"/>
          <w:sz w:val="18"/>
          <w:szCs w:val="18"/>
          <w:color w:val="auto"/>
        </w:rPr>
      </w:pPr>
    </w:p>
    <w:p>
      <w:pPr>
        <w:ind w:left="2180" w:right="299" w:hanging="321"/>
        <w:spacing w:after="0" w:line="250" w:lineRule="auto"/>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 million cash contribution made by Mitsubishi in January 2025, which increased their ownership in the joint venture from 65% to 80%;</w:t>
      </w:r>
    </w:p>
    <w:p>
      <w:pPr>
        <w:jc w:val="both"/>
        <w:ind w:left="2180" w:right="79" w:hanging="321"/>
        <w:spacing w:after="0" w:line="265" w:lineRule="auto"/>
        <w:tabs>
          <w:tab w:leader="none" w:pos="2180" w:val="left"/>
        </w:tabs>
        <w:numPr>
          <w:ilvl w:val="3"/>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provided by the contribution of development projects at the Digital Dulles campus to the joint venture with Blackstone in April 2025, for gross proceeds of approximately $77 million;</w:t>
      </w:r>
    </w:p>
    <w:p>
      <w:pPr>
        <w:ind w:left="2180" w:right="379" w:hanging="321"/>
        <w:spacing w:after="0" w:line="250" w:lineRule="auto"/>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the contribution of data centers and development projects to the Fund in May 2025, for gross proceeds of approximately $937 million; and</w:t>
      </w:r>
    </w:p>
    <w:p>
      <w:pPr>
        <w:ind w:left="2180" w:right="519" w:hanging="321"/>
        <w:spacing w:after="0" w:line="260" w:lineRule="auto"/>
        <w:tabs>
          <w:tab w:leader="none" w:pos="218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the sale of non-core data centers in the third quarter of 2025, for gross proceeds of approximately $90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419"/>
        <w:spacing w:after="0" w:line="257" w:lineRule="auto"/>
        <w:rPr>
          <w:sz w:val="20"/>
          <w:szCs w:val="20"/>
          <w:color w:val="auto"/>
        </w:rPr>
      </w:pPr>
      <w:r>
        <w:rPr>
          <w:rFonts w:ascii="Times New Roman" w:cs="Times New Roman" w:eastAsia="Times New Roman" w:hAnsi="Times New Roman"/>
          <w:sz w:val="18"/>
          <w:szCs w:val="18"/>
          <w:color w:val="auto"/>
        </w:rPr>
        <w:t>The changes in the activities that comprise the increase in net cash from financing activities for the nine months ended September 30, 2026 as compared to the nine months ended September 30, 2025 consisted of the following amounts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6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provided by short-term borrowings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1,319,354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provided by proceeds from secured / unsecured debt</w:t>
            </w: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(1,807,471)</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used for repayment on secured / unsecured debt</w:t>
            </w: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1,192,525</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provided by proceeds from issuance of common stock, net of costs</w:t>
            </w: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1,923,756</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used for dividend and distribution payments</w:t>
            </w: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(83,889)</w:t>
            </w:r>
          </w:p>
        </w:tc>
        <w:tc>
          <w:tcPr>
            <w:tcW w:w="20" w:type="dxa"/>
            <w:vAlign w:val="bottom"/>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changes, net</w:t>
            </w: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37,789</w:t>
            </w:r>
          </w:p>
        </w:tc>
        <w:tc>
          <w:tcPr>
            <w:tcW w:w="20" w:type="dxa"/>
            <w:vAlign w:val="bottom"/>
          </w:tcPr>
          <w:p>
            <w:pPr>
              <w:spacing w:after="0"/>
              <w:rPr>
                <w:sz w:val="18"/>
                <w:szCs w:val="18"/>
                <w:color w:val="auto"/>
              </w:rPr>
            </w:pPr>
          </w:p>
        </w:tc>
      </w:tr>
      <w:tr>
        <w:trPr>
          <w:trHeight w:val="209"/>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in net cash from financing activities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2,582,064</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net cash from financing activities was primarily due to:</w:t>
      </w:r>
    </w:p>
    <w:p>
      <w:pPr>
        <w:spacing w:after="0" w:line="27"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provided by short-term borrowings;</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cash provided by proceeds from secured / unsecured debt due to the issuance of the 3.875% Guaranteed Notes due 2035 in January 2025 and the issuance of the 3.875% Guaranteed Notes due 2034 in June 2025;</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cash used for repayment:</w:t>
      </w:r>
    </w:p>
    <w:p>
      <w:pPr>
        <w:spacing w:after="0" w:line="9"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voluntary paydown of Teraco debt in March 2026, compared to</w:t>
      </w:r>
    </w:p>
    <w:p>
      <w:pPr>
        <w:spacing w:after="0" w:line="9" w:lineRule="exact"/>
        <w:rPr>
          <w:rFonts w:ascii="Times New Roman" w:cs="Times New Roman" w:eastAsia="Times New Roman" w:hAnsi="Times New Roman"/>
          <w:sz w:val="18"/>
          <w:szCs w:val="18"/>
          <w:color w:val="auto"/>
        </w:rPr>
      </w:pPr>
    </w:p>
    <w:p>
      <w:pPr>
        <w:ind w:left="1100" w:hanging="334"/>
        <w:spacing w:after="0"/>
        <w:tabs>
          <w:tab w:leader="none" w:pos="11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 million on the GBP notes (4.250% notes due 2025) repaid in January 2025 and</w:t>
      </w:r>
    </w:p>
    <w:p>
      <w:pPr>
        <w:spacing w:after="0" w:line="9" w:lineRule="exact"/>
        <w:rPr>
          <w:rFonts w:ascii="Times New Roman" w:cs="Times New Roman" w:eastAsia="Times New Roman" w:hAnsi="Times New Roman"/>
          <w:sz w:val="18"/>
          <w:szCs w:val="18"/>
          <w:color w:val="auto"/>
        </w:rPr>
      </w:pPr>
    </w:p>
    <w:p>
      <w:pPr>
        <w:ind w:left="1100" w:hanging="334"/>
        <w:spacing w:after="0"/>
        <w:tabs>
          <w:tab w:leader="none" w:pos="11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 million on the €650 million 0.625% unsecured senior notes paid at maturity in July 2025;</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provided by proceeds from the issuance of:</w:t>
      </w:r>
    </w:p>
    <w:p>
      <w:pPr>
        <w:spacing w:after="0" w:line="9" w:lineRule="exact"/>
        <w:rPr>
          <w:rFonts w:ascii="Times New Roman" w:cs="Times New Roman" w:eastAsia="Times New Roman" w:hAnsi="Times New Roman"/>
          <w:sz w:val="18"/>
          <w:szCs w:val="18"/>
          <w:color w:val="auto"/>
        </w:rPr>
      </w:pPr>
    </w:p>
    <w:p>
      <w:pPr>
        <w:ind w:left="1100" w:right="319" w:hanging="334"/>
        <w:spacing w:after="0" w:line="250" w:lineRule="auto"/>
        <w:tabs>
          <w:tab w:leader="none" w:pos="11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15.9 million shares of common stock, net of costs, of approximately $3.0 billion under our ATM program in 2026, compared to</w:t>
      </w:r>
    </w:p>
    <w:p>
      <w:pPr>
        <w:ind w:left="1100" w:right="419" w:hanging="334"/>
        <w:spacing w:after="0" w:line="250" w:lineRule="auto"/>
        <w:tabs>
          <w:tab w:leader="none" w:pos="11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6.0 million shares of common stock, net of costs, of approximately $1.0 billion under our ATM program in 2025; and</w:t>
      </w:r>
    </w:p>
    <w:p>
      <w:pPr>
        <w:ind w:left="720" w:right="339" w:hanging="319"/>
        <w:spacing w:after="0" w:line="26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dividend and distribution payments due to an increased number of common shares and common units outstanding.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Interests in Operating Partnership</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Noncontrolling interests relate to the common units in Digital Realty Trust, L.P. that are not owned by Digital Realty Trust, Inc., which, as of September 30, 2026, amounted to 1.7% of Digital Realty Trust, L.P. common units. Historically, Digital Realty Trust, L.P. has issued common units to third party sellers in connection with our acquisition of real estate interests from such third parties.</w:t>
      </w:r>
    </w:p>
    <w:p>
      <w:pPr>
        <w:spacing w:after="0" w:line="18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Limited partners have the right to require Digital Realty Trust, L.P.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As of September 30, 2026, common units and incentive units of Digital Realty Trust, L.P. are classified within equity, except for certain common units of approximately 0.2 million issued to certain former DuPont Fabros Technology, L.P. unitholders in the Company’s acquisition of DuPont Fabros Technology, Inc., which are subject to certain restrictions and, accordingly, are not presented as permanent equity in the condensed consolidated balance sheet.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variable-rate borrowings, including borrowings under our Global Revolving Credit Facilities, borrowings under our Euro Term Loan Facility and issuances of unsecured senior notes.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29"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available to common stockholders (computed in accordance with GAAP), excluding gain (loss) from the disposition of real estate assets, provision for impairment, real estate related depreciation and amortization (excluding amortization of deferred financing costs), our share of unconsolidated entities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Available to Common Stockholders to Funds From Operations (FFO)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and unit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2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GAAP Net Income Available to Common Stockholders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185,165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57,631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797,366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1,179,399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 in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partnership</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20"/>
              <w:spacing w:after="0" w:line="216" w:lineRule="exact"/>
              <w:rPr>
                <w:sz w:val="20"/>
                <w:szCs w:val="20"/>
                <w:color w:val="auto"/>
              </w:rPr>
            </w:pPr>
            <w:r>
              <w:rPr>
                <w:rFonts w:ascii="Times New Roman" w:cs="Times New Roman" w:eastAsia="Times New Roman" w:hAnsi="Times New Roman"/>
                <w:sz w:val="17"/>
                <w:szCs w:val="17"/>
                <w:color w:val="auto"/>
              </w:rPr>
              <w:t xml:space="preserve">Real estate related depreciation and amortization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related to non-controlling interests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Unconsolidated entities real estate related depreciation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from the disposition of real estate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spacing w:after="0" w:line="210" w:lineRule="exact"/>
              <w:rPr>
                <w:sz w:val="20"/>
                <w:szCs w:val="20"/>
                <w:color w:val="auto"/>
              </w:rPr>
            </w:pPr>
            <w:r>
              <w:rPr>
                <w:rFonts w:ascii="Times New Roman" w:cs="Times New Roman" w:eastAsia="Times New Roman" w:hAnsi="Times New Roman"/>
                <w:sz w:val="17"/>
                <w:szCs w:val="17"/>
                <w:color w:val="auto"/>
              </w:rPr>
              <w:t xml:space="preserve">FFO available to common stockholders and unitholders </w:t>
            </w:r>
            <w:r>
              <w:rPr>
                <w:rFonts w:ascii="Times New Roman" w:cs="Times New Roman" w:eastAsia="Times New Roman" w:hAnsi="Times New Roman"/>
                <w:sz w:val="24"/>
                <w:szCs w:val="24"/>
                <w:color w:val="auto"/>
                <w:vertAlign w:val="superscript"/>
              </w:rPr>
              <w:t>(2)</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570,067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2,423,815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FFO per share and unit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Diluted FFO per share and unit </w:t>
            </w:r>
            <w:r>
              <w:rPr>
                <w:rFonts w:ascii="Times New Roman" w:cs="Times New Roman" w:eastAsia="Times New Roman" w:hAnsi="Times New Roman"/>
                <w:sz w:val="25"/>
                <w:szCs w:val="25"/>
                <w:color w:val="auto"/>
                <w:vertAlign w:val="superscript"/>
              </w:rPr>
              <w:t>(2)(3)</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and units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5"/>
                <w:szCs w:val="25"/>
                <w:color w:val="auto"/>
                <w:vertAlign w:val="superscript"/>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137160</wp:posOffset>
            </wp:positionV>
            <wp:extent cx="56489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Real estate related depreciation and amortization was computed as follows: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per income statements</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539,471</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1,401,178</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(30,294)</w:t>
            </w:r>
          </w:p>
        </w:tc>
      </w:tr>
      <w:tr>
        <w:trPr>
          <w:trHeight w:val="228"/>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527,646</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487,182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1,517,717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1,370,884</w:t>
            </w:r>
          </w:p>
        </w:tc>
      </w:tr>
    </w:tbl>
    <w:p>
      <w:pPr>
        <w:spacing w:after="0" w:line="4" w:lineRule="exact"/>
        <w:rPr>
          <w:sz w:val="20"/>
          <w:szCs w:val="20"/>
          <w:color w:val="auto"/>
        </w:rPr>
      </w:pPr>
    </w:p>
    <w:p>
      <w:pPr>
        <w:ind w:left="380" w:right="99" w:hanging="330"/>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 per share. When calculating diluted FFO, Teraco related minority interest is added back to the FFO numerator as the denominator assumes all shares have been put back to the Company. The Teraco noncontrolling share of FFO was $19,190 and $17,018 for the three months ended September 30, 2026 and 2025, respectively, and $54,579 and $45,326 for the nine months ended September 30, 2026 and 2025, respectively.</w:t>
      </w:r>
    </w:p>
    <w:p>
      <w:pPr>
        <w:ind w:left="380" w:right="199" w:hanging="330"/>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presented, we have excluded the effect of the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as they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-1659255</wp:posOffset>
            </wp:positionV>
            <wp:extent cx="27686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7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7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8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common stock and units</w:t>
            </w: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378,331</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347,301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common stock and units</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355,165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370,963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outstanding—diluted</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Analysis of Debt between Fixed and Variable Rate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use interest rate swap agreements and fixed rate debt to reduce our exposure to interest rate movements.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our consolidated debt was as follows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6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w:t>
            </w:r>
          </w:p>
        </w:tc>
      </w:tr>
      <w:tr>
        <w:trPr>
          <w:trHeight w:val="21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 debt subject to interest rate swaps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rate debt (including interest rate swaps)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r>
      <w:tr>
        <w:trPr>
          <w:trHeight w:val="21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Sensitivity to Changes in Interest Rates</w:t>
      </w:r>
    </w:p>
    <w:p>
      <w:pPr>
        <w:spacing w:after="0" w:line="227" w:lineRule="exact"/>
        <w:rPr>
          <w:sz w:val="20"/>
          <w:szCs w:val="20"/>
          <w:color w:val="auto"/>
        </w:rPr>
      </w:pPr>
    </w:p>
    <w:p>
      <w:pPr>
        <w:ind w:left="60" w:right="679"/>
        <w:spacing w:after="0" w:line="261" w:lineRule="auto"/>
        <w:rPr>
          <w:sz w:val="20"/>
          <w:szCs w:val="20"/>
          <w:color w:val="auto"/>
        </w:rPr>
      </w:pPr>
      <w:r>
        <w:rPr>
          <w:rFonts w:ascii="Times New Roman" w:cs="Times New Roman" w:eastAsia="Times New Roman" w:hAnsi="Times New Roman"/>
          <w:sz w:val="18"/>
          <w:szCs w:val="18"/>
          <w:color w:val="auto"/>
        </w:rPr>
        <w:t>The following table shows the effect if assumed changes in interest rates occurred, based on fair values and interest expense as of September 30, 2026:</w:t>
      </w:r>
    </w:p>
    <w:tbl>
      <w:tblPr>
        <w:tblLayout w:type="fixed"/>
        <w:tblInd w:w="6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20" w:type="dxa"/>
            <w:vAlign w:val="bottom"/>
            <w:gridSpan w:val="2"/>
          </w:tcPr>
          <w:p>
            <w:pPr>
              <w:jc w:val="right"/>
              <w:ind w:right="15"/>
              <w:spacing w:after="0" w:line="190" w:lineRule="exact"/>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ind w:right="215"/>
              <w:spacing w:after="0" w:line="190" w:lineRule="exact"/>
              <w:rPr>
                <w:sz w:val="20"/>
                <w:szCs w:val="20"/>
                <w:color w:val="auto"/>
              </w:rPr>
            </w:pPr>
            <w:r>
              <w:rPr>
                <w:rFonts w:ascii="Times New Roman" w:cs="Times New Roman" w:eastAsia="Times New Roman" w:hAnsi="Times New Roman"/>
                <w:sz w:val="17"/>
                <w:szCs w:val="17"/>
                <w:b w:val="1"/>
                <w:bCs w:val="1"/>
                <w:color w:val="auto"/>
              </w:rPr>
              <w:t>Change</w:t>
            </w:r>
          </w:p>
        </w:tc>
      </w:tr>
      <w:tr>
        <w:trPr>
          <w:trHeight w:val="22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Assumed event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millions)</w:t>
            </w:r>
          </w:p>
        </w:tc>
      </w:tr>
      <w:tr>
        <w:trPr>
          <w:trHeight w:val="19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fair value of interest rate swaps following an assumed 10% increase in interest rates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Decrease in fair value of interest rate swaps following an assumed 10% decrease in interest rates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1"/>
        </w:trPr>
        <w:tc>
          <w:tcPr>
            <w:tcW w:w="7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Increase in annual interest expense on our debt that is variable rate and not subject to swapped interest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following a 10% increase in interest rates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81"/>
        </w:trPr>
        <w:tc>
          <w:tcPr>
            <w:tcW w:w="7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Decrease in annual interest expense on our debt that is variable rate and not subject to swapped interest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following a 10% decrease in interest rates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fair value of fixed rate debt following a 10% decrease in interest rates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Decrease in fair value of fixed rate debt following a 10% increase in interest rates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bl>
    <w:p>
      <w:pPr>
        <w:spacing w:after="0" w:line="17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are subject to risk from the effects of exchange rate movements of a variety of foreign currencies, which may affect future costs and cash flows. Our primary currency exposures are to the Euro, Japanese yen, British pound sterling, Singapore dollar, South African rand and Brazilian real.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We also utilize cross-currency interest rate swaps, designated as net investment hedges, which effectively convert a portion of our U.S. dollar-denominated fixed-rate debt to foreign currency-denominated fixed-rate debt, to hedge the currency exposure associated with our net investment in our foreign subsidiaries. In addition, we may also hedge well-defined transactional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 (Digital Realty Trust, Inc.)</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9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the end of the quarter covered by this report. Based on the foregoing, the Company’s chief executive officer and chief financial officer concluded that its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during its most recent fiscal quarter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 (Digital Realty Trust, L.P.)</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19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the end of the quarter covered by this report. Based on the foregoing, the chief executive officer and chief financial officer of the Operating Partnership’s general partner concluded that its disclosure controls and procedures were effective at the reasonable assurance level.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 over financial reporting during its most recent fiscal quarter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may become subject to various legal proceedings. As of September 30, 2026, we were not a party to any legal proceedings which we believe would have a material adverse effect on our operations or financial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579"/>
        <w:spacing w:after="0" w:line="312" w:lineRule="auto"/>
        <w:rPr>
          <w:sz w:val="20"/>
          <w:szCs w:val="20"/>
          <w:color w:val="auto"/>
        </w:rPr>
      </w:pPr>
      <w:r>
        <w:rPr>
          <w:rFonts w:ascii="Times New Roman" w:cs="Times New Roman" w:eastAsia="Times New Roman" w:hAnsi="Times New Roman"/>
          <w:sz w:val="17"/>
          <w:szCs w:val="17"/>
          <w:color w:val="auto"/>
        </w:rPr>
        <w:t>The risk factors discussed under the heading “Risk Factors” and elsewhere in the Company’s and the Operating Partnership’s Annual Report on Form 10-K for the year ended December 31, 2025 continue to apply to our business.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Realty Trust, Inc.</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Digital Realty Trust, Inc. issued 2,320,200 shares of its common stock in connection with the Columbia Capital Acquisition in reliance upon the exemption from registration provided by Section 4(a)(2).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Realty Trust, L.P.</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Digital Realty Trust, L.P. issued partnership units in private placements in reliance on the exemption from registration provided by Section 4(a)(2) of the Securities Act, in the amounts and for the consideration set forth below:</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Digital Realty Trust, Inc. issued an aggregate of 17,995 shares of its common stock in connection with restricted stock unit awards for no cash consideration. For each share of common stock issued by Digital Realty Trust, Inc. in connection with such an award, Digital Realty Trust, L.P. issued a restricted common unit to Digital Realty Trust, Inc. During the three months ended September 30, 2026, Digital Realty Trust, L.P. issued an aggregate of 17,995 common units to Digital Realty Trust, Inc., as required by Digital Realty Trust, L.P.’s partnership agreement. During the three months ended September 30, 2026, an aggregate of 14,024 shares of its common stock were forfeited to Digital Realty Trust, Inc. in connection with restricted stock unit awards for a net issuance of 3,971 shares of common stock.</w:t>
      </w:r>
    </w:p>
    <w:p>
      <w:pPr>
        <w:spacing w:after="0" w:line="19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For these issuances of common units to Digital Realty Trust, Inc., Digital Realty Trust, L.P. relied on Digital Realty Trust, Inc.’s status as a publicly traded NYSE-listed company with approximately $56.5 billion in total consolidated assets and as Digital Realty Trust, L.P.’s majority owner and general partner as the basis for the exemption under Section 4(a)(2) of the Securities Act.</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Section 16 officers adopted, modified, or terminated any Rule 10b5-1 trading arrangement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76"/>
        </w:trPr>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0" w:type="dxa"/>
            <w:vAlign w:val="bottom"/>
          </w:tcPr>
          <w:p>
            <w:pPr>
              <w:spacing w:after="0"/>
              <w:rPr>
                <w:sz w:val="15"/>
                <w:szCs w:val="15"/>
                <w:color w:val="auto"/>
              </w:rPr>
            </w:pPr>
          </w:p>
        </w:tc>
        <w:tc>
          <w:tcPr>
            <w:tcW w:w="5300" w:type="dxa"/>
            <w:vAlign w:val="bottom"/>
            <w:gridSpan w:val="12"/>
          </w:tcPr>
          <w:p>
            <w:pPr>
              <w:ind w:left="2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Number Herewith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Borders>
              <w:top w:val="single" w:sz="8" w:color="CCEEFF"/>
            </w:tcBorders>
            <w:shd w:val="clear" w:color="auto" w:fill="CCEEFF"/>
          </w:tcPr>
          <w:p>
            <w:pPr>
              <w:spacing w:after="0"/>
              <w:rPr>
                <w:sz w:val="10"/>
                <w:szCs w:val="10"/>
                <w:color w:val="auto"/>
              </w:rPr>
            </w:pPr>
          </w:p>
        </w:tc>
        <w:tc>
          <w:tcPr>
            <w:tcW w:w="5300" w:type="dxa"/>
            <w:vAlign w:val="bottom"/>
            <w:tcBorders>
              <w:top w:val="single" w:sz="8" w:color="auto"/>
            </w:tcBorders>
            <w:gridSpan w:val="12"/>
            <w:shd w:val="clear" w:color="auto" w:fill="CCEEFF"/>
          </w:tcPr>
          <w:p>
            <w:pPr>
              <w:spacing w:after="0" w:line="122" w:lineRule="exact"/>
              <w:rPr>
                <w:rFonts w:ascii="Times New Roman" w:cs="Times New Roman" w:eastAsia="Times New Roman" w:hAnsi="Times New Roman"/>
                <w:sz w:val="13"/>
                <w:szCs w:val="13"/>
                <w:color w:val="0000EE"/>
              </w:rPr>
            </w:pPr>
            <w:hyperlink r:id="rId98">
              <w:r>
                <w:rPr>
                  <w:rFonts w:ascii="Times New Roman" w:cs="Times New Roman" w:eastAsia="Times New Roman" w:hAnsi="Times New Roman"/>
                  <w:sz w:val="13"/>
                  <w:szCs w:val="13"/>
                  <w:color w:val="0000EE"/>
                </w:rPr>
                <w:t>Articles of Amendment and Restatement of Digital Realty Trust, Inc., as amended</w:t>
              </w:r>
            </w:hyperlink>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10-K</w:t>
            </w:r>
          </w:p>
        </w:tc>
        <w:tc>
          <w:tcPr>
            <w:tcW w:w="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001-32336 and</w:t>
            </w:r>
          </w:p>
        </w:tc>
        <w:tc>
          <w:tcPr>
            <w:tcW w:w="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4"/>
              </w:rPr>
              <w:t>02/24/2025</w:t>
            </w: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0000EE"/>
              <w:bottom w:val="single" w:sz="8" w:color="CCEEFF"/>
            </w:tcBorders>
            <w:shd w:val="clear" w:color="auto" w:fill="CCEEFF"/>
          </w:tcPr>
          <w:p>
            <w:pPr>
              <w:spacing w:after="0"/>
              <w:rPr>
                <w:sz w:val="16"/>
                <w:szCs w:val="16"/>
                <w:color w:val="auto"/>
              </w:rPr>
            </w:pPr>
          </w:p>
        </w:tc>
        <w:tc>
          <w:tcPr>
            <w:tcW w:w="314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820" w:type="dxa"/>
            <w:vAlign w:val="bottom"/>
            <w:tcBorders>
              <w:top w:val="single" w:sz="8" w:color="0000EE"/>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000-54023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20" w:type="dxa"/>
            <w:vAlign w:val="bottom"/>
          </w:tcPr>
          <w:p>
            <w:pPr>
              <w:spacing w:after="0"/>
              <w:rPr>
                <w:sz w:val="10"/>
                <w:szCs w:val="10"/>
                <w:color w:val="auto"/>
              </w:rPr>
            </w:pPr>
          </w:p>
        </w:tc>
        <w:tc>
          <w:tcPr>
            <w:tcW w:w="5300" w:type="dxa"/>
            <w:vAlign w:val="bottom"/>
            <w:gridSpan w:val="12"/>
          </w:tcPr>
          <w:p>
            <w:pPr>
              <w:spacing w:after="0" w:line="122" w:lineRule="exact"/>
              <w:rPr>
                <w:rFonts w:ascii="Times New Roman" w:cs="Times New Roman" w:eastAsia="Times New Roman" w:hAnsi="Times New Roman"/>
                <w:sz w:val="13"/>
                <w:szCs w:val="13"/>
                <w:color w:val="0000EE"/>
              </w:rPr>
            </w:pPr>
            <w:hyperlink r:id="rId99">
              <w:r>
                <w:rPr>
                  <w:rFonts w:ascii="Times New Roman" w:cs="Times New Roman" w:eastAsia="Times New Roman" w:hAnsi="Times New Roman"/>
                  <w:sz w:val="13"/>
                  <w:szCs w:val="13"/>
                  <w:color w:val="0000EE"/>
                </w:rPr>
                <w:t>Articles Supplementary Designating Non-Voting Common Stock of Digital Realty Trust, Inc.</w:t>
              </w:r>
            </w:hyperlink>
          </w:p>
        </w:tc>
        <w:tc>
          <w:tcPr>
            <w:tcW w:w="120" w:type="dxa"/>
            <w:vAlign w:val="bottom"/>
          </w:tcPr>
          <w:p>
            <w:pPr>
              <w:spacing w:after="0"/>
              <w:rPr>
                <w:sz w:val="10"/>
                <w:szCs w:val="10"/>
                <w:color w:val="auto"/>
              </w:rPr>
            </w:pPr>
          </w:p>
        </w:tc>
        <w:tc>
          <w:tcPr>
            <w:tcW w:w="3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3"/>
                <w:szCs w:val="13"/>
                <w:color w:val="auto"/>
                <w:w w:val="88"/>
              </w:rPr>
              <w:t>8-K</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001-32336 and</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w w:val="97"/>
              </w:rPr>
              <w:t>07/01/2026</w:t>
            </w:r>
          </w:p>
        </w:tc>
        <w:tc>
          <w:tcPr>
            <w:tcW w:w="500" w:type="dxa"/>
            <w:vAlign w:val="bottom"/>
            <w:gridSpan w:val="2"/>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1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000-54023</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CEEFF"/>
          </w:tcPr>
          <w:p>
            <w:pPr>
              <w:spacing w:after="0"/>
              <w:rPr>
                <w:sz w:val="10"/>
                <w:szCs w:val="10"/>
                <w:color w:val="auto"/>
              </w:rPr>
            </w:pPr>
          </w:p>
        </w:tc>
        <w:tc>
          <w:tcPr>
            <w:tcW w:w="5300" w:type="dxa"/>
            <w:vAlign w:val="bottom"/>
            <w:gridSpan w:val="12"/>
            <w:shd w:val="clear" w:color="auto" w:fill="CCEEFF"/>
          </w:tcPr>
          <w:p>
            <w:pPr>
              <w:spacing w:after="0" w:line="122" w:lineRule="exact"/>
              <w:rPr>
                <w:rFonts w:ascii="Times New Roman" w:cs="Times New Roman" w:eastAsia="Times New Roman" w:hAnsi="Times New Roman"/>
                <w:sz w:val="13"/>
                <w:szCs w:val="13"/>
                <w:color w:val="0000EE"/>
              </w:rPr>
            </w:pPr>
            <w:hyperlink r:id="rId100">
              <w:r>
                <w:rPr>
                  <w:rFonts w:ascii="Times New Roman" w:cs="Times New Roman" w:eastAsia="Times New Roman" w:hAnsi="Times New Roman"/>
                  <w:sz w:val="13"/>
                  <w:szCs w:val="13"/>
                  <w:color w:val="0000EE"/>
                </w:rPr>
                <w:t>Ninth Amended and Restated Bylaws of Digital Realty Trust, Inc.</w:t>
              </w:r>
            </w:hyperlink>
          </w:p>
        </w:tc>
        <w:tc>
          <w:tcPr>
            <w:tcW w:w="1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right="40"/>
              <w:spacing w:after="0" w:line="122" w:lineRule="exact"/>
              <w:rPr>
                <w:sz w:val="20"/>
                <w:szCs w:val="20"/>
                <w:color w:val="auto"/>
              </w:rPr>
            </w:pPr>
            <w:r>
              <w:rPr>
                <w:rFonts w:ascii="Times New Roman" w:cs="Times New Roman" w:eastAsia="Times New Roman" w:hAnsi="Times New Roman"/>
                <w:sz w:val="13"/>
                <w:szCs w:val="13"/>
                <w:color w:val="auto"/>
                <w:w w:val="88"/>
              </w:rPr>
              <w:t>8-K</w:t>
            </w:r>
          </w:p>
        </w:tc>
        <w:tc>
          <w:tcPr>
            <w:tcW w:w="10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001-32336 and</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7"/>
              </w:rPr>
              <w:t>04/03/2023</w:t>
            </w:r>
          </w:p>
        </w:tc>
        <w:tc>
          <w:tcPr>
            <w:tcW w:w="500" w:type="dxa"/>
            <w:vAlign w:val="bottom"/>
            <w:gridSpan w:val="2"/>
            <w:shd w:val="clear" w:color="auto" w:fill="CCEEFF"/>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0000EE"/>
              <w:bottom w:val="single" w:sz="8" w:color="CCEEFF"/>
            </w:tcBorders>
            <w:shd w:val="clear" w:color="auto" w:fill="CCEEFF"/>
          </w:tcPr>
          <w:p>
            <w:pPr>
              <w:spacing w:after="0"/>
              <w:rPr>
                <w:sz w:val="16"/>
                <w:szCs w:val="16"/>
                <w:color w:val="auto"/>
              </w:rPr>
            </w:pPr>
          </w:p>
        </w:tc>
        <w:tc>
          <w:tcPr>
            <w:tcW w:w="314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000-54023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0"/>
                <w:szCs w:val="10"/>
                <w:color w:val="auto"/>
              </w:rPr>
            </w:pPr>
          </w:p>
        </w:tc>
        <w:tc>
          <w:tcPr>
            <w:tcW w:w="5300" w:type="dxa"/>
            <w:vAlign w:val="bottom"/>
            <w:gridSpan w:val="12"/>
          </w:tcPr>
          <w:p>
            <w:pPr>
              <w:spacing w:after="0" w:line="122" w:lineRule="exact"/>
              <w:rPr>
                <w:rFonts w:ascii="Times New Roman" w:cs="Times New Roman" w:eastAsia="Times New Roman" w:hAnsi="Times New Roman"/>
                <w:sz w:val="13"/>
                <w:szCs w:val="13"/>
                <w:color w:val="0000EE"/>
              </w:rPr>
            </w:pPr>
            <w:hyperlink r:id="rId101">
              <w:r>
                <w:rPr>
                  <w:rFonts w:ascii="Times New Roman" w:cs="Times New Roman" w:eastAsia="Times New Roman" w:hAnsi="Times New Roman"/>
                  <w:sz w:val="13"/>
                  <w:szCs w:val="13"/>
                  <w:color w:val="0000EE"/>
                </w:rPr>
                <w:t>Certificate of Limited Partnership of Digital Realty Trust, L.P.</w:t>
              </w:r>
            </w:hyperlink>
          </w:p>
        </w:tc>
        <w:tc>
          <w:tcPr>
            <w:tcW w:w="44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000-54023</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w w:val="97"/>
              </w:rPr>
              <w:t>06/25/2010</w:t>
            </w:r>
          </w:p>
        </w:tc>
        <w:tc>
          <w:tcPr>
            <w:tcW w:w="500" w:type="dxa"/>
            <w:vAlign w:val="bottom"/>
            <w:gridSpan w:val="2"/>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1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10"/>
                <w:szCs w:val="10"/>
                <w:color w:val="auto"/>
              </w:rPr>
            </w:pPr>
          </w:p>
        </w:tc>
        <w:tc>
          <w:tcPr>
            <w:tcW w:w="5300" w:type="dxa"/>
            <w:vAlign w:val="bottom"/>
            <w:gridSpan w:val="12"/>
            <w:shd w:val="clear" w:color="auto" w:fill="CCEEFF"/>
          </w:tcPr>
          <w:p>
            <w:pPr>
              <w:spacing w:after="0" w:line="122" w:lineRule="exact"/>
              <w:rPr>
                <w:rFonts w:ascii="Times New Roman" w:cs="Times New Roman" w:eastAsia="Times New Roman" w:hAnsi="Times New Roman"/>
                <w:sz w:val="13"/>
                <w:szCs w:val="13"/>
                <w:color w:val="0000EE"/>
              </w:rPr>
            </w:pPr>
            <w:hyperlink r:id="rId102">
              <w:r>
                <w:rPr>
                  <w:rFonts w:ascii="Times New Roman" w:cs="Times New Roman" w:eastAsia="Times New Roman" w:hAnsi="Times New Roman"/>
                  <w:sz w:val="13"/>
                  <w:szCs w:val="13"/>
                  <w:color w:val="0000EE"/>
                </w:rPr>
                <w:t>Nineteenth Amended and Restated Agreement of Limited Partnership of Digital Realty Trust, L.P.</w:t>
              </w:r>
            </w:hyperlink>
          </w:p>
        </w:tc>
        <w:tc>
          <w:tcPr>
            <w:tcW w:w="1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right="40"/>
              <w:spacing w:after="0" w:line="122" w:lineRule="exact"/>
              <w:rPr>
                <w:sz w:val="20"/>
                <w:szCs w:val="20"/>
                <w:color w:val="auto"/>
              </w:rPr>
            </w:pPr>
            <w:r>
              <w:rPr>
                <w:rFonts w:ascii="Times New Roman" w:cs="Times New Roman" w:eastAsia="Times New Roman" w:hAnsi="Times New Roman"/>
                <w:sz w:val="13"/>
                <w:szCs w:val="13"/>
                <w:color w:val="auto"/>
                <w:w w:val="88"/>
              </w:rPr>
              <w:t>8-K</w:t>
            </w:r>
          </w:p>
        </w:tc>
        <w:tc>
          <w:tcPr>
            <w:tcW w:w="10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001-32336 and</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7"/>
              </w:rPr>
              <w:t>10/10/2019</w:t>
            </w:r>
          </w:p>
        </w:tc>
        <w:tc>
          <w:tcPr>
            <w:tcW w:w="500" w:type="dxa"/>
            <w:vAlign w:val="bottom"/>
            <w:gridSpan w:val="2"/>
            <w:shd w:val="clear" w:color="auto" w:fill="CCEEFF"/>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14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82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000-54023</w:t>
            </w: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31.1</w:t>
            </w:r>
          </w:p>
        </w:tc>
        <w:tc>
          <w:tcPr>
            <w:tcW w:w="20" w:type="dxa"/>
            <w:vAlign w:val="bottom"/>
          </w:tcPr>
          <w:p>
            <w:pPr>
              <w:spacing w:after="0"/>
              <w:rPr>
                <w:sz w:val="10"/>
                <w:szCs w:val="10"/>
                <w:color w:val="auto"/>
              </w:rPr>
            </w:pPr>
          </w:p>
        </w:tc>
        <w:tc>
          <w:tcPr>
            <w:tcW w:w="5300" w:type="dxa"/>
            <w:vAlign w:val="bottom"/>
            <w:gridSpan w:val="12"/>
          </w:tcPr>
          <w:p>
            <w:pPr>
              <w:spacing w:after="0" w:line="122" w:lineRule="exact"/>
              <w:rPr>
                <w:sz w:val="20"/>
                <w:szCs w:val="20"/>
                <w:color w:val="auto"/>
              </w:rPr>
            </w:pPr>
            <w:r>
              <w:rPr>
                <w:rFonts w:ascii="Times New Roman" w:cs="Times New Roman" w:eastAsia="Times New Roman" w:hAnsi="Times New Roman"/>
                <w:sz w:val="13"/>
                <w:szCs w:val="13"/>
                <w:color w:val="0000EE"/>
              </w:rPr>
              <w:t>Rule 13a-14(a)/15d-14(a) Certification of Chief Executive Officer for Digital Realty Trust, Inc.</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31.2</w:t>
            </w:r>
          </w:p>
        </w:tc>
        <w:tc>
          <w:tcPr>
            <w:tcW w:w="20" w:type="dxa"/>
            <w:vAlign w:val="bottom"/>
            <w:shd w:val="clear" w:color="auto" w:fill="CCEEFF"/>
          </w:tcPr>
          <w:p>
            <w:pPr>
              <w:spacing w:after="0"/>
              <w:rPr>
                <w:sz w:val="10"/>
                <w:szCs w:val="10"/>
                <w:color w:val="auto"/>
              </w:rPr>
            </w:pPr>
          </w:p>
        </w:tc>
        <w:tc>
          <w:tcPr>
            <w:tcW w:w="5300" w:type="dxa"/>
            <w:vAlign w:val="bottom"/>
            <w:gridSpan w:val="1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0000EE"/>
              </w:rPr>
              <w:t>Rule 13a-14(a)/15d-14(a) Certification of Chief Financial Officer for Digital Realty Trust, Inc.</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31.3</w:t>
            </w:r>
          </w:p>
        </w:tc>
        <w:tc>
          <w:tcPr>
            <w:tcW w:w="20" w:type="dxa"/>
            <w:vAlign w:val="bottom"/>
          </w:tcPr>
          <w:p>
            <w:pPr>
              <w:spacing w:after="0"/>
              <w:rPr>
                <w:sz w:val="10"/>
                <w:szCs w:val="10"/>
                <w:color w:val="auto"/>
              </w:rPr>
            </w:pPr>
          </w:p>
        </w:tc>
        <w:tc>
          <w:tcPr>
            <w:tcW w:w="5300" w:type="dxa"/>
            <w:vAlign w:val="bottom"/>
            <w:gridSpan w:val="12"/>
          </w:tcPr>
          <w:p>
            <w:pPr>
              <w:spacing w:after="0" w:line="122" w:lineRule="exact"/>
              <w:rPr>
                <w:sz w:val="20"/>
                <w:szCs w:val="20"/>
                <w:color w:val="auto"/>
              </w:rPr>
            </w:pPr>
            <w:r>
              <w:rPr>
                <w:rFonts w:ascii="Times New Roman" w:cs="Times New Roman" w:eastAsia="Times New Roman" w:hAnsi="Times New Roman"/>
                <w:sz w:val="13"/>
                <w:szCs w:val="13"/>
                <w:color w:val="0000EE"/>
              </w:rPr>
              <w:t>Rule 13a-14(a)/15d-14(a) Certification of Chief Executive Officer for Digital Realty Trust, L.P.</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31.4</w:t>
            </w:r>
          </w:p>
        </w:tc>
        <w:tc>
          <w:tcPr>
            <w:tcW w:w="20" w:type="dxa"/>
            <w:vAlign w:val="bottom"/>
            <w:shd w:val="clear" w:color="auto" w:fill="CCEEFF"/>
          </w:tcPr>
          <w:p>
            <w:pPr>
              <w:spacing w:after="0"/>
              <w:rPr>
                <w:sz w:val="10"/>
                <w:szCs w:val="10"/>
                <w:color w:val="auto"/>
              </w:rPr>
            </w:pPr>
          </w:p>
        </w:tc>
        <w:tc>
          <w:tcPr>
            <w:tcW w:w="5300" w:type="dxa"/>
            <w:vAlign w:val="bottom"/>
            <w:gridSpan w:val="1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0000EE"/>
              </w:rPr>
              <w:t>Rule 13a-14(a)/15d-14(a) Certification of Chief Financial Officer for Digital Realty Trust, L.P.</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32.1</w:t>
            </w:r>
          </w:p>
        </w:tc>
        <w:tc>
          <w:tcPr>
            <w:tcW w:w="20" w:type="dxa"/>
            <w:vAlign w:val="bottom"/>
          </w:tcPr>
          <w:p>
            <w:pPr>
              <w:spacing w:after="0"/>
              <w:rPr>
                <w:sz w:val="10"/>
                <w:szCs w:val="10"/>
                <w:color w:val="auto"/>
              </w:rPr>
            </w:pPr>
          </w:p>
        </w:tc>
        <w:tc>
          <w:tcPr>
            <w:tcW w:w="5300" w:type="dxa"/>
            <w:vAlign w:val="bottom"/>
            <w:gridSpan w:val="12"/>
          </w:tcPr>
          <w:p>
            <w:pPr>
              <w:spacing w:after="0" w:line="122" w:lineRule="exact"/>
              <w:rPr>
                <w:sz w:val="20"/>
                <w:szCs w:val="20"/>
                <w:color w:val="auto"/>
              </w:rPr>
            </w:pPr>
            <w:r>
              <w:rPr>
                <w:rFonts w:ascii="Times New Roman" w:cs="Times New Roman" w:eastAsia="Times New Roman" w:hAnsi="Times New Roman"/>
                <w:sz w:val="13"/>
                <w:szCs w:val="13"/>
                <w:color w:val="0000EE"/>
              </w:rPr>
              <w:t>18 U.S.C. § 1350 Certification of Chief Executive Officer for Digital Realty Trust, Inc.</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32.2</w:t>
            </w:r>
          </w:p>
        </w:tc>
        <w:tc>
          <w:tcPr>
            <w:tcW w:w="20" w:type="dxa"/>
            <w:vAlign w:val="bottom"/>
            <w:shd w:val="clear" w:color="auto" w:fill="CCEEFF"/>
          </w:tcPr>
          <w:p>
            <w:pPr>
              <w:spacing w:after="0"/>
              <w:rPr>
                <w:sz w:val="10"/>
                <w:szCs w:val="10"/>
                <w:color w:val="auto"/>
              </w:rPr>
            </w:pPr>
          </w:p>
        </w:tc>
        <w:tc>
          <w:tcPr>
            <w:tcW w:w="5300" w:type="dxa"/>
            <w:vAlign w:val="bottom"/>
            <w:gridSpan w:val="1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0000EE"/>
              </w:rPr>
              <w:t>18 U.S.C. § 1350 Certification of Chief Financial Officer for Digital Realty Trust, Inc.</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32.3</w:t>
            </w:r>
          </w:p>
        </w:tc>
        <w:tc>
          <w:tcPr>
            <w:tcW w:w="20" w:type="dxa"/>
            <w:vAlign w:val="bottom"/>
            <w:tcBorders>
              <w:bottom w:val="single" w:sz="8" w:color="0000EE"/>
            </w:tcBorders>
          </w:tcPr>
          <w:p>
            <w:pPr>
              <w:spacing w:after="0"/>
              <w:rPr>
                <w:sz w:val="10"/>
                <w:szCs w:val="10"/>
                <w:color w:val="auto"/>
              </w:rPr>
            </w:pPr>
          </w:p>
        </w:tc>
        <w:tc>
          <w:tcPr>
            <w:tcW w:w="4400" w:type="dxa"/>
            <w:vAlign w:val="bottom"/>
            <w:tcBorders>
              <w:bottom w:val="single" w:sz="8" w:color="0000EE"/>
            </w:tcBorders>
            <w:gridSpan w:val="6"/>
          </w:tcPr>
          <w:p>
            <w:pPr>
              <w:spacing w:after="0" w:line="122" w:lineRule="exact"/>
              <w:rPr>
                <w:sz w:val="20"/>
                <w:szCs w:val="20"/>
                <w:color w:val="auto"/>
              </w:rPr>
            </w:pPr>
            <w:r>
              <w:rPr>
                <w:rFonts w:ascii="Times New Roman" w:cs="Times New Roman" w:eastAsia="Times New Roman" w:hAnsi="Times New Roman"/>
                <w:sz w:val="13"/>
                <w:szCs w:val="13"/>
                <w:color w:val="0000EE"/>
                <w:w w:val="96"/>
              </w:rPr>
              <w:t>18 U.S.C. § 1350 Certification of Chief Executive Officer for Digital Realty Trust, L.P.</w:t>
            </w:r>
          </w:p>
        </w:tc>
        <w:tc>
          <w:tcPr>
            <w:tcW w:w="900" w:type="dxa"/>
            <w:vAlign w:val="bottom"/>
            <w:gridSpan w:val="6"/>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83"/>
        </w:trPr>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32.4</w:t>
            </w:r>
          </w:p>
        </w:tc>
        <w:tc>
          <w:tcPr>
            <w:tcW w:w="20" w:type="dxa"/>
            <w:vAlign w:val="bottom"/>
            <w:tcBorders>
              <w:bottom w:val="single" w:sz="8" w:color="0000EE"/>
            </w:tcBorders>
          </w:tcPr>
          <w:p>
            <w:pPr>
              <w:spacing w:after="0"/>
              <w:rPr>
                <w:sz w:val="15"/>
                <w:szCs w:val="15"/>
                <w:color w:val="auto"/>
              </w:rPr>
            </w:pPr>
          </w:p>
        </w:tc>
        <w:tc>
          <w:tcPr>
            <w:tcW w:w="4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18 U.S.C. § 1350 Certification of Chief Financial Officer for Digital Realty Trust, L.P.</w:t>
            </w:r>
          </w:p>
        </w:tc>
        <w:tc>
          <w:tcPr>
            <w:tcW w:w="94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-85090</wp:posOffset>
            </wp:positionV>
            <wp:extent cx="56489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9" w:lineRule="exact"/>
        <w:rPr>
          <w:sz w:val="20"/>
          <w:szCs w:val="20"/>
          <w:color w:val="auto"/>
        </w:rPr>
      </w:pPr>
    </w:p>
    <w:p>
      <w:pPr>
        <w:ind w:left="540" w:right="3319" w:hanging="484"/>
        <w:spacing w:after="0" w:line="282" w:lineRule="auto"/>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financial statements from Digital Realty Trust, Inc.’s and Digital Realty Trust, L.P.’s Form 10-Q for the quarter ended September 30, 2026, formatted in Inline XBRL interactive data files:</w:t>
      </w:r>
    </w:p>
    <w:p>
      <w:pPr>
        <w:ind w:left="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Condensed Consolidated Balance Sheets as of September 30, 2026 and December 31, 2025; (ii)</w:t>
      </w:r>
    </w:p>
    <w:p>
      <w:pPr>
        <w:spacing w:after="0" w:line="1" w:lineRule="exact"/>
        <w:rPr>
          <w:sz w:val="20"/>
          <w:szCs w:val="20"/>
          <w:color w:val="auto"/>
        </w:rPr>
      </w:pPr>
    </w:p>
    <w:p>
      <w:pPr>
        <w:ind w:left="540" w:right="3219"/>
        <w:spacing w:after="0" w:line="264" w:lineRule="auto"/>
        <w:rPr>
          <w:sz w:val="20"/>
          <w:szCs w:val="20"/>
          <w:color w:val="auto"/>
        </w:rPr>
      </w:pPr>
      <w:r>
        <w:rPr>
          <w:rFonts w:ascii="Times New Roman" w:cs="Times New Roman" w:eastAsia="Times New Roman" w:hAnsi="Times New Roman"/>
          <w:sz w:val="13"/>
          <w:szCs w:val="13"/>
          <w:color w:val="auto"/>
        </w:rPr>
        <w:t>Condensed Consolidated Income Statements for the three and nine months ended September 30, 2026 and 2025; (iii) Condensed Consolidated Statements of Comprehensive Income for the three and nine months ended September 30, 2026 and 2025; (iv) Condensed Consolidated Statements of Equity/Capital for the three and nine months ended September 30, 2026 and 2025; (v) Condensed Consolidated Statements of Cash Flows for the nine months ended September 30, 2026 and 2025; and (vi) Notes to Condensed Consolidated Financial Statements.</w:t>
      </w:r>
    </w:p>
    <w:p>
      <w:pPr>
        <w:spacing w:after="0" w:line="10"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-82550</wp:posOffset>
            </wp:positionV>
            <wp:extent cx="564896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DIGITAL REALTY TRUST,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NDREW</w:t>
            </w:r>
            <w:r>
              <w:rPr>
                <w:rFonts w:ascii="Times New Roman" w:cs="Times New Roman" w:eastAsia="Times New Roman" w:hAnsi="Times New Roman"/>
                <w:sz w:val="18"/>
                <w:szCs w:val="18"/>
                <w:color w:val="auto"/>
              </w:rPr>
              <w:t xml:space="preserve"> P. P</w:t>
            </w:r>
            <w:r>
              <w:rPr>
                <w:rFonts w:ascii="Times New Roman" w:cs="Times New Roman" w:eastAsia="Times New Roman" w:hAnsi="Times New Roman"/>
                <w:sz w:val="14"/>
                <w:szCs w:val="14"/>
                <w:color w:val="auto"/>
              </w:rPr>
              <w:t>OWER</w:t>
            </w:r>
          </w:p>
        </w:tc>
      </w:tr>
      <w:tr>
        <w:trPr>
          <w:trHeight w:val="117"/>
        </w:trPr>
        <w:tc>
          <w:tcPr>
            <w:tcW w:w="4440" w:type="dxa"/>
            <w:vAlign w:val="bottom"/>
          </w:tcPr>
          <w:p>
            <w:pPr>
              <w:spacing w:after="0"/>
              <w:rPr>
                <w:sz w:val="10"/>
                <w:szCs w:val="10"/>
                <w:color w:val="auto"/>
              </w:rPr>
            </w:pPr>
          </w:p>
        </w:tc>
        <w:tc>
          <w:tcPr>
            <w:tcW w:w="4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Andrew P. Power</w:t>
            </w:r>
          </w:p>
        </w:tc>
      </w:tr>
      <w:tr>
        <w:trPr>
          <w:trHeight w:val="149"/>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President &amp; Chief Executive Officer</w:t>
            </w:r>
          </w:p>
        </w:tc>
      </w:tr>
      <w:tr>
        <w:trPr>
          <w:trHeight w:val="190"/>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ATTHEW</w:t>
            </w:r>
            <w:r>
              <w:rPr>
                <w:rFonts w:ascii="Times New Roman" w:cs="Times New Roman" w:eastAsia="Times New Roman" w:hAnsi="Times New Roman"/>
                <w:sz w:val="18"/>
                <w:szCs w:val="18"/>
                <w:color w:val="auto"/>
              </w:rPr>
              <w:t xml:space="preserve"> R. M</w:t>
            </w:r>
            <w:r>
              <w:rPr>
                <w:rFonts w:ascii="Times New Roman" w:cs="Times New Roman" w:eastAsia="Times New Roman" w:hAnsi="Times New Roman"/>
                <w:sz w:val="14"/>
                <w:szCs w:val="14"/>
                <w:color w:val="auto"/>
              </w:rPr>
              <w:t>ERCIER</w:t>
            </w:r>
          </w:p>
        </w:tc>
      </w:tr>
      <w:tr>
        <w:trPr>
          <w:trHeight w:val="117"/>
        </w:trPr>
        <w:tc>
          <w:tcPr>
            <w:tcW w:w="4440" w:type="dxa"/>
            <w:vAlign w:val="bottom"/>
          </w:tcPr>
          <w:p>
            <w:pPr>
              <w:spacing w:after="0"/>
              <w:rPr>
                <w:sz w:val="10"/>
                <w:szCs w:val="10"/>
                <w:color w:val="auto"/>
              </w:rPr>
            </w:pPr>
          </w:p>
        </w:tc>
        <w:tc>
          <w:tcPr>
            <w:tcW w:w="4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Matthew R. Mercier</w:t>
            </w:r>
          </w:p>
        </w:tc>
      </w:tr>
      <w:tr>
        <w:trPr>
          <w:trHeight w:val="148"/>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r>
        <w:trPr>
          <w:trHeight w:val="41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HRISTINE</w:t>
            </w:r>
            <w:r>
              <w:rPr>
                <w:rFonts w:ascii="Times New Roman" w:cs="Times New Roman" w:eastAsia="Times New Roman" w:hAnsi="Times New Roman"/>
                <w:sz w:val="18"/>
                <w:szCs w:val="18"/>
                <w:color w:val="auto"/>
              </w:rPr>
              <w:t xml:space="preserve"> B. K</w:t>
            </w:r>
            <w:r>
              <w:rPr>
                <w:rFonts w:ascii="Times New Roman" w:cs="Times New Roman" w:eastAsia="Times New Roman" w:hAnsi="Times New Roman"/>
                <w:sz w:val="14"/>
                <w:szCs w:val="14"/>
                <w:color w:val="auto"/>
              </w:rPr>
              <w:t>ORNEGAY</w:t>
            </w:r>
          </w:p>
        </w:tc>
      </w:tr>
      <w:tr>
        <w:trPr>
          <w:trHeight w:val="117"/>
        </w:trPr>
        <w:tc>
          <w:tcPr>
            <w:tcW w:w="4440" w:type="dxa"/>
            <w:vAlign w:val="bottom"/>
          </w:tcPr>
          <w:p>
            <w:pPr>
              <w:spacing w:after="0"/>
              <w:rPr>
                <w:sz w:val="10"/>
                <w:szCs w:val="10"/>
                <w:color w:val="auto"/>
              </w:rPr>
            </w:pPr>
          </w:p>
        </w:tc>
        <w:tc>
          <w:tcPr>
            <w:tcW w:w="4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Christine B. Kornegay</w:t>
            </w:r>
          </w:p>
        </w:tc>
      </w:tr>
      <w:tr>
        <w:trPr>
          <w:trHeight w:val="148"/>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Accounting Officer</w:t>
            </w:r>
          </w:p>
        </w:tc>
      </w:tr>
      <w:tr>
        <w:trPr>
          <w:trHeight w:val="190"/>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DIGITAL REALTY TRUST, L.P.</w:t>
            </w:r>
          </w:p>
        </w:tc>
      </w:tr>
      <w:tr>
        <w:trPr>
          <w:trHeight w:val="414"/>
        </w:trPr>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Digital Realty Trust, Inc.</w:t>
            </w:r>
          </w:p>
        </w:tc>
      </w:tr>
      <w:tr>
        <w:trPr>
          <w:trHeight w:val="234"/>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2026</w:t>
            </w:r>
          </w:p>
        </w:tc>
        <w:tc>
          <w:tcPr>
            <w:tcW w:w="1640" w:type="dxa"/>
            <w:vAlign w:val="bottom"/>
          </w:tcPr>
          <w:p>
            <w:pPr>
              <w:spacing w:after="0"/>
              <w:rPr>
                <w:sz w:val="24"/>
                <w:szCs w:val="24"/>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NDREW</w:t>
            </w:r>
            <w:r>
              <w:rPr>
                <w:rFonts w:ascii="Times New Roman" w:cs="Times New Roman" w:eastAsia="Times New Roman" w:hAnsi="Times New Roman"/>
                <w:sz w:val="18"/>
                <w:szCs w:val="18"/>
                <w:color w:val="auto"/>
              </w:rPr>
              <w:t xml:space="preserve"> P. P</w:t>
            </w:r>
            <w:r>
              <w:rPr>
                <w:rFonts w:ascii="Times New Roman" w:cs="Times New Roman" w:eastAsia="Times New Roman" w:hAnsi="Times New Roman"/>
                <w:sz w:val="14"/>
                <w:szCs w:val="14"/>
                <w:color w:val="auto"/>
              </w:rPr>
              <w:t>OWER</w:t>
            </w:r>
          </w:p>
        </w:tc>
      </w:tr>
      <w:tr>
        <w:trPr>
          <w:trHeight w:val="117"/>
        </w:trPr>
        <w:tc>
          <w:tcPr>
            <w:tcW w:w="2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Andrew P. Power</w:t>
            </w:r>
          </w:p>
        </w:tc>
        <w:tc>
          <w:tcPr>
            <w:tcW w:w="20" w:type="dxa"/>
            <w:vAlign w:val="bottom"/>
          </w:tcPr>
          <w:p>
            <w:pPr>
              <w:spacing w:after="0"/>
              <w:rPr>
                <w:sz w:val="10"/>
                <w:szCs w:val="10"/>
                <w:color w:val="auto"/>
              </w:rPr>
            </w:pPr>
          </w:p>
        </w:tc>
      </w:tr>
      <w:tr>
        <w:trPr>
          <w:trHeight w:val="149"/>
        </w:trPr>
        <w:tc>
          <w:tcPr>
            <w:tcW w:w="2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President &amp; Chief Executive Officer</w:t>
            </w:r>
          </w:p>
        </w:tc>
      </w:tr>
      <w:tr>
        <w:trPr>
          <w:trHeight w:val="190"/>
        </w:trPr>
        <w:tc>
          <w:tcPr>
            <w:tcW w:w="2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2026</w:t>
            </w:r>
          </w:p>
        </w:tc>
        <w:tc>
          <w:tcPr>
            <w:tcW w:w="1640" w:type="dxa"/>
            <w:vAlign w:val="bottom"/>
          </w:tcPr>
          <w:p>
            <w:pPr>
              <w:spacing w:after="0"/>
              <w:rPr>
                <w:sz w:val="24"/>
                <w:szCs w:val="24"/>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ATTHEW</w:t>
            </w:r>
            <w:r>
              <w:rPr>
                <w:rFonts w:ascii="Times New Roman" w:cs="Times New Roman" w:eastAsia="Times New Roman" w:hAnsi="Times New Roman"/>
                <w:sz w:val="18"/>
                <w:szCs w:val="18"/>
                <w:color w:val="auto"/>
              </w:rPr>
              <w:t xml:space="preserve"> R. M</w:t>
            </w:r>
            <w:r>
              <w:rPr>
                <w:rFonts w:ascii="Times New Roman" w:cs="Times New Roman" w:eastAsia="Times New Roman" w:hAnsi="Times New Roman"/>
                <w:sz w:val="14"/>
                <w:szCs w:val="14"/>
                <w:color w:val="auto"/>
              </w:rPr>
              <w:t>ERCIER</w:t>
            </w:r>
          </w:p>
        </w:tc>
      </w:tr>
      <w:tr>
        <w:trPr>
          <w:trHeight w:val="117"/>
        </w:trPr>
        <w:tc>
          <w:tcPr>
            <w:tcW w:w="2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Matthew R. Mercier</w:t>
            </w:r>
          </w:p>
        </w:tc>
        <w:tc>
          <w:tcPr>
            <w:tcW w:w="20" w:type="dxa"/>
            <w:vAlign w:val="bottom"/>
          </w:tcPr>
          <w:p>
            <w:pPr>
              <w:spacing w:after="0"/>
              <w:rPr>
                <w:sz w:val="10"/>
                <w:szCs w:val="10"/>
                <w:color w:val="auto"/>
              </w:rPr>
            </w:pPr>
          </w:p>
        </w:tc>
      </w:tr>
      <w:tr>
        <w:trPr>
          <w:trHeight w:val="149"/>
        </w:trPr>
        <w:tc>
          <w:tcPr>
            <w:tcW w:w="2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2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r>
        <w:trPr>
          <w:trHeight w:val="41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2026</w:t>
            </w:r>
          </w:p>
        </w:tc>
        <w:tc>
          <w:tcPr>
            <w:tcW w:w="1640" w:type="dxa"/>
            <w:vAlign w:val="bottom"/>
          </w:tcPr>
          <w:p>
            <w:pPr>
              <w:spacing w:after="0"/>
              <w:rPr>
                <w:sz w:val="24"/>
                <w:szCs w:val="24"/>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HRISTINE</w:t>
            </w:r>
            <w:r>
              <w:rPr>
                <w:rFonts w:ascii="Times New Roman" w:cs="Times New Roman" w:eastAsia="Times New Roman" w:hAnsi="Times New Roman"/>
                <w:sz w:val="18"/>
                <w:szCs w:val="18"/>
                <w:color w:val="auto"/>
              </w:rPr>
              <w:t xml:space="preserve"> B. K</w:t>
            </w:r>
            <w:r>
              <w:rPr>
                <w:rFonts w:ascii="Times New Roman" w:cs="Times New Roman" w:eastAsia="Times New Roman" w:hAnsi="Times New Roman"/>
                <w:sz w:val="14"/>
                <w:szCs w:val="14"/>
                <w:color w:val="auto"/>
              </w:rPr>
              <w:t>ORNEGAY</w:t>
            </w:r>
          </w:p>
        </w:tc>
      </w:tr>
      <w:tr>
        <w:trPr>
          <w:trHeight w:val="117"/>
        </w:trPr>
        <w:tc>
          <w:tcPr>
            <w:tcW w:w="2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Christine B. Kornegay</w:t>
            </w:r>
          </w:p>
        </w:tc>
        <w:tc>
          <w:tcPr>
            <w:tcW w:w="20" w:type="dxa"/>
            <w:vAlign w:val="bottom"/>
          </w:tcPr>
          <w:p>
            <w:pPr>
              <w:spacing w:after="0"/>
              <w:rPr>
                <w:sz w:val="10"/>
                <w:szCs w:val="10"/>
                <w:color w:val="auto"/>
              </w:rPr>
            </w:pPr>
          </w:p>
        </w:tc>
      </w:tr>
      <w:tr>
        <w:trPr>
          <w:trHeight w:val="148"/>
        </w:trPr>
        <w:tc>
          <w:tcPr>
            <w:tcW w:w="2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Chief Accounting Officer</w:t>
            </w:r>
          </w:p>
        </w:tc>
      </w:tr>
      <w:tr>
        <w:trPr>
          <w:trHeight w:val="190"/>
        </w:trPr>
        <w:tc>
          <w:tcPr>
            <w:tcW w:w="2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tc>
      </w:tr>
      <w:tr>
        <w:trPr>
          <w:trHeight w:val="847"/>
        </w:trPr>
        <w:tc>
          <w:tcPr>
            <w:tcW w:w="2820" w:type="dxa"/>
            <w:vAlign w:val="bottom"/>
          </w:tcPr>
          <w:p>
            <w:pPr>
              <w:spacing w:after="0"/>
              <w:rPr>
                <w:sz w:val="24"/>
                <w:szCs w:val="24"/>
                <w:color w:val="auto"/>
              </w:rPr>
            </w:pPr>
          </w:p>
        </w:tc>
        <w:tc>
          <w:tcPr>
            <w:tcW w:w="6080" w:type="dxa"/>
            <w:vAlign w:val="bottom"/>
            <w:gridSpan w:val="2"/>
          </w:tcPr>
          <w:p>
            <w:pPr>
              <w:jc w:val="right"/>
              <w:ind w:right="4261"/>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r>
      <w:tr>
        <w:trPr>
          <w:trHeight w:val="547"/>
        </w:trPr>
        <w:tc>
          <w:tcPr>
            <w:tcW w:w="2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 Andrew P. Power, certify that:</w:t>
      </w:r>
    </w:p>
    <w:p>
      <w:pPr>
        <w:spacing w:after="0" w:line="237" w:lineRule="exact"/>
        <w:rPr>
          <w:sz w:val="20"/>
          <w:szCs w:val="20"/>
          <w:color w:val="auto"/>
        </w:rPr>
      </w:pPr>
    </w:p>
    <w:p>
      <w:pPr>
        <w:ind w:left="900" w:hanging="691"/>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Digital Realty Trust, Inc.;</w:t>
      </w:r>
    </w:p>
    <w:p>
      <w:pPr>
        <w:spacing w:after="0" w:line="223" w:lineRule="exact"/>
        <w:rPr>
          <w:rFonts w:ascii="Times New Roman" w:cs="Times New Roman" w:eastAsia="Times New Roman" w:hAnsi="Times New Roman"/>
          <w:sz w:val="17"/>
          <w:szCs w:val="17"/>
          <w:color w:val="auto"/>
        </w:rPr>
      </w:pPr>
    </w:p>
    <w:p>
      <w:pPr>
        <w:ind w:left="860" w:right="539" w:hanging="651"/>
        <w:spacing w:after="0" w:line="265" w:lineRule="auto"/>
        <w:tabs>
          <w:tab w:leader="none" w:pos="85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7"/>
          <w:szCs w:val="17"/>
          <w:color w:val="auto"/>
        </w:rPr>
      </w:pPr>
    </w:p>
    <w:p>
      <w:pPr>
        <w:ind w:left="860" w:right="439" w:hanging="651"/>
        <w:spacing w:after="0" w:line="265" w:lineRule="auto"/>
        <w:tabs>
          <w:tab w:leader="none" w:pos="85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7"/>
          <w:szCs w:val="17"/>
          <w:color w:val="auto"/>
        </w:rPr>
      </w:pPr>
    </w:p>
    <w:p>
      <w:pPr>
        <w:ind w:left="860" w:right="299" w:hanging="651"/>
        <w:spacing w:after="0" w:line="273" w:lineRule="auto"/>
        <w:tabs>
          <w:tab w:leader="none" w:pos="8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860" w:right="599" w:hanging="327"/>
        <w:spacing w:after="0" w:line="259"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860" w:right="319" w:hanging="327"/>
        <w:spacing w:after="0" w:line="259"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ind w:left="860" w:right="239" w:hanging="327"/>
        <w:spacing w:after="0" w:line="265"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7"/>
          <w:szCs w:val="17"/>
          <w:color w:val="auto"/>
        </w:rPr>
      </w:pPr>
    </w:p>
    <w:p>
      <w:pPr>
        <w:ind w:left="860" w:right="359" w:hanging="327"/>
        <w:spacing w:after="0" w:line="259"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7"/>
          <w:szCs w:val="17"/>
          <w:color w:val="auto"/>
        </w:rPr>
      </w:pPr>
    </w:p>
    <w:p>
      <w:pPr>
        <w:jc w:val="both"/>
        <w:ind w:left="860" w:right="599" w:hanging="651"/>
        <w:spacing w:after="0" w:line="265" w:lineRule="auto"/>
        <w:tabs>
          <w:tab w:leader="none" w:pos="8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7"/>
          <w:szCs w:val="17"/>
          <w:color w:val="auto"/>
        </w:rPr>
      </w:pPr>
    </w:p>
    <w:p>
      <w:pPr>
        <w:ind w:left="860" w:right="399" w:hanging="327"/>
        <w:spacing w:after="0" w:line="265"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7"/>
          <w:szCs w:val="17"/>
          <w:color w:val="auto"/>
        </w:rPr>
      </w:pPr>
    </w:p>
    <w:p>
      <w:pPr>
        <w:ind w:left="860" w:right="239" w:hanging="327"/>
        <w:spacing w:after="0" w:line="281" w:lineRule="auto"/>
        <w:tabs>
          <w:tab w:leader="none" w:pos="8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Date: October 30, 2026</w:t>
      </w:r>
    </w:p>
    <w:p>
      <w:pPr>
        <w:spacing w:after="0" w:line="250" w:lineRule="exact"/>
        <w:rPr>
          <w:sz w:val="20"/>
          <w:szCs w:val="20"/>
          <w:color w:val="auto"/>
        </w:rPr>
      </w:pPr>
    </w:p>
    <w:p>
      <w:pPr>
        <w:ind w:left="240"/>
        <w:spacing w:after="0"/>
        <w:tabs>
          <w:tab w:leader="none" w:pos="19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43815</wp:posOffset>
            </wp:positionV>
            <wp:extent cx="2537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Andrew P. Power</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1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 Matthew R. Mercier, certify that:</w:t>
      </w:r>
    </w:p>
    <w:p>
      <w:pPr>
        <w:spacing w:after="0" w:line="237" w:lineRule="exact"/>
        <w:rPr>
          <w:sz w:val="20"/>
          <w:szCs w:val="20"/>
          <w:color w:val="auto"/>
        </w:rPr>
      </w:pPr>
    </w:p>
    <w:p>
      <w:pPr>
        <w:ind w:left="900" w:hanging="691"/>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Digital Realty Trust, Inc.;</w:t>
      </w:r>
    </w:p>
    <w:p>
      <w:pPr>
        <w:spacing w:after="0" w:line="223" w:lineRule="exact"/>
        <w:rPr>
          <w:rFonts w:ascii="Times New Roman" w:cs="Times New Roman" w:eastAsia="Times New Roman" w:hAnsi="Times New Roman"/>
          <w:sz w:val="17"/>
          <w:szCs w:val="17"/>
          <w:color w:val="auto"/>
        </w:rPr>
      </w:pPr>
    </w:p>
    <w:p>
      <w:pPr>
        <w:ind w:left="860" w:right="539" w:hanging="651"/>
        <w:spacing w:after="0" w:line="265" w:lineRule="auto"/>
        <w:tabs>
          <w:tab w:leader="none" w:pos="85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7"/>
          <w:szCs w:val="17"/>
          <w:color w:val="auto"/>
        </w:rPr>
      </w:pPr>
    </w:p>
    <w:p>
      <w:pPr>
        <w:ind w:left="860" w:right="439" w:hanging="651"/>
        <w:spacing w:after="0" w:line="265" w:lineRule="auto"/>
        <w:tabs>
          <w:tab w:leader="none" w:pos="85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7"/>
          <w:szCs w:val="17"/>
          <w:color w:val="auto"/>
        </w:rPr>
      </w:pPr>
    </w:p>
    <w:p>
      <w:pPr>
        <w:ind w:left="860" w:right="299" w:hanging="651"/>
        <w:spacing w:after="0" w:line="273" w:lineRule="auto"/>
        <w:tabs>
          <w:tab w:leader="none" w:pos="85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860" w:right="599" w:hanging="327"/>
        <w:spacing w:after="0" w:line="259"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860" w:right="319" w:hanging="327"/>
        <w:spacing w:after="0" w:line="259"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ind w:left="860" w:right="239" w:hanging="327"/>
        <w:spacing w:after="0" w:line="265"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7"/>
          <w:szCs w:val="17"/>
          <w:color w:val="auto"/>
        </w:rPr>
      </w:pPr>
    </w:p>
    <w:p>
      <w:pPr>
        <w:ind w:left="860" w:right="359" w:hanging="327"/>
        <w:spacing w:after="0" w:line="259"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7"/>
          <w:szCs w:val="17"/>
          <w:color w:val="auto"/>
        </w:rPr>
      </w:pPr>
    </w:p>
    <w:p>
      <w:pPr>
        <w:jc w:val="both"/>
        <w:ind w:left="860" w:right="599" w:hanging="651"/>
        <w:spacing w:after="0" w:line="265" w:lineRule="auto"/>
        <w:tabs>
          <w:tab w:leader="none" w:pos="85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7"/>
          <w:szCs w:val="17"/>
          <w:color w:val="auto"/>
        </w:rPr>
      </w:pPr>
    </w:p>
    <w:p>
      <w:pPr>
        <w:ind w:left="860" w:right="399" w:hanging="327"/>
        <w:spacing w:after="0" w:line="265"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7"/>
          <w:szCs w:val="17"/>
          <w:color w:val="auto"/>
        </w:rPr>
      </w:pPr>
    </w:p>
    <w:p>
      <w:pPr>
        <w:ind w:left="860" w:right="239" w:hanging="327"/>
        <w:spacing w:after="0" w:line="281" w:lineRule="auto"/>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Date: October 30, 2026</w:t>
      </w:r>
    </w:p>
    <w:p>
      <w:pPr>
        <w:spacing w:after="0" w:line="250" w:lineRule="exact"/>
        <w:rPr>
          <w:sz w:val="20"/>
          <w:szCs w:val="20"/>
          <w:color w:val="auto"/>
        </w:rPr>
      </w:pPr>
    </w:p>
    <w:p>
      <w:pPr>
        <w:ind w:left="240"/>
        <w:spacing w:after="0"/>
        <w:tabs>
          <w:tab w:leader="none" w:pos="1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43815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Matthew R. Mercier</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 Andrew P. Power, certify that:</w:t>
      </w:r>
    </w:p>
    <w:p>
      <w:pPr>
        <w:spacing w:after="0" w:line="221" w:lineRule="exact"/>
        <w:rPr>
          <w:sz w:val="20"/>
          <w:szCs w:val="20"/>
          <w:color w:val="auto"/>
        </w:rPr>
      </w:pPr>
    </w:p>
    <w:p>
      <w:pPr>
        <w:ind w:left="860" w:hanging="651"/>
        <w:spacing w:after="0"/>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Digital Realty Trust, L.P.;</w:t>
      </w:r>
    </w:p>
    <w:p>
      <w:pPr>
        <w:spacing w:after="0" w:line="207" w:lineRule="exact"/>
        <w:rPr>
          <w:rFonts w:ascii="Times New Roman" w:cs="Times New Roman" w:eastAsia="Times New Roman" w:hAnsi="Times New Roman"/>
          <w:sz w:val="16"/>
          <w:szCs w:val="16"/>
          <w:color w:val="auto"/>
        </w:rPr>
      </w:pPr>
    </w:p>
    <w:p>
      <w:pPr>
        <w:ind w:left="860" w:right="239" w:hanging="651"/>
        <w:spacing w:after="0" w:line="272" w:lineRule="auto"/>
        <w:tabs>
          <w:tab w:leader="none" w:pos="8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6"/>
          <w:szCs w:val="16"/>
          <w:color w:val="auto"/>
        </w:rPr>
      </w:pPr>
    </w:p>
    <w:p>
      <w:pPr>
        <w:ind w:left="860" w:right="219" w:hanging="651"/>
        <w:spacing w:after="0" w:line="263" w:lineRule="auto"/>
        <w:tabs>
          <w:tab w:leader="none" w:pos="8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860" w:right="379" w:hanging="651"/>
        <w:spacing w:after="0" w:line="263" w:lineRule="auto"/>
        <w:tabs>
          <w:tab w:leader="none" w:pos="81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ind w:left="860" w:right="239" w:hanging="327"/>
        <w:spacing w:after="0" w:line="263"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ind w:left="860" w:right="479" w:hanging="327"/>
        <w:spacing w:after="0" w:line="272"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6"/>
          <w:szCs w:val="16"/>
          <w:color w:val="auto"/>
        </w:rPr>
      </w:pPr>
    </w:p>
    <w:p>
      <w:pPr>
        <w:ind w:left="860" w:right="379" w:hanging="327"/>
        <w:spacing w:after="0" w:line="263"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6"/>
          <w:szCs w:val="16"/>
          <w:color w:val="auto"/>
        </w:rPr>
      </w:pPr>
    </w:p>
    <w:p>
      <w:pPr>
        <w:ind w:left="860" w:right="479" w:hanging="327"/>
        <w:spacing w:after="0" w:line="263"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6"/>
          <w:szCs w:val="16"/>
          <w:color w:val="auto"/>
        </w:rPr>
      </w:pPr>
    </w:p>
    <w:p>
      <w:pPr>
        <w:ind w:left="860" w:right="519" w:hanging="651"/>
        <w:spacing w:after="0" w:line="272" w:lineRule="auto"/>
        <w:tabs>
          <w:tab w:leader="none" w:pos="81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Times New Roman" w:cs="Times New Roman" w:eastAsia="Times New Roman" w:hAnsi="Times New Roman"/>
          <w:sz w:val="16"/>
          <w:szCs w:val="16"/>
          <w:color w:val="auto"/>
        </w:rPr>
      </w:pPr>
    </w:p>
    <w:p>
      <w:pPr>
        <w:ind w:left="860" w:right="299" w:hanging="327"/>
        <w:spacing w:after="0" w:line="272"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6"/>
          <w:szCs w:val="16"/>
          <w:color w:val="auto"/>
        </w:rPr>
      </w:pPr>
    </w:p>
    <w:p>
      <w:pPr>
        <w:ind w:left="860" w:right="639" w:hanging="327"/>
        <w:spacing w:after="0" w:line="280"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October 30, 2026</w:t>
      </w:r>
    </w:p>
    <w:p>
      <w:pPr>
        <w:spacing w:after="0" w:line="258" w:lineRule="exact"/>
        <w:rPr>
          <w:sz w:val="20"/>
          <w:szCs w:val="20"/>
          <w:color w:val="auto"/>
        </w:rPr>
      </w:pPr>
    </w:p>
    <w:p>
      <w:pPr>
        <w:ind w:left="240"/>
        <w:spacing w:after="0"/>
        <w:tabs>
          <w:tab w:leader="none" w:pos="19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37465</wp:posOffset>
            </wp:positionV>
            <wp:extent cx="2631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66" w:lineRule="exact"/>
        <w:rPr>
          <w:sz w:val="20"/>
          <w:szCs w:val="20"/>
          <w:color w:val="auto"/>
        </w:rPr>
      </w:pPr>
    </w:p>
    <w:p>
      <w:pPr>
        <w:jc w:val="center"/>
        <w:ind w:right="3479"/>
        <w:spacing w:after="0"/>
        <w:rPr>
          <w:sz w:val="20"/>
          <w:szCs w:val="20"/>
          <w:color w:val="auto"/>
        </w:rPr>
      </w:pPr>
      <w:r>
        <w:rPr>
          <w:rFonts w:ascii="Times New Roman" w:cs="Times New Roman" w:eastAsia="Times New Roman" w:hAnsi="Times New Roman"/>
          <w:sz w:val="16"/>
          <w:szCs w:val="16"/>
          <w:color w:val="auto"/>
        </w:rPr>
        <w:t>Andrew P. Power</w:t>
      </w:r>
    </w:p>
    <w:p>
      <w:pPr>
        <w:spacing w:after="0" w:line="23" w:lineRule="exact"/>
        <w:rPr>
          <w:sz w:val="20"/>
          <w:szCs w:val="20"/>
          <w:color w:val="auto"/>
        </w:rPr>
      </w:pPr>
    </w:p>
    <w:p>
      <w:pPr>
        <w:jc w:val="center"/>
        <w:ind w:right="3499"/>
        <w:spacing w:after="0"/>
        <w:rPr>
          <w:sz w:val="20"/>
          <w:szCs w:val="20"/>
          <w:color w:val="auto"/>
        </w:rPr>
      </w:pPr>
      <w:r>
        <w:rPr>
          <w:rFonts w:ascii="Times New Roman" w:cs="Times New Roman" w:eastAsia="Times New Roman" w:hAnsi="Times New Roman"/>
          <w:sz w:val="16"/>
          <w:szCs w:val="16"/>
          <w:color w:val="auto"/>
        </w:rPr>
        <w:t>President &amp; Chief Executive Officer</w:t>
      </w:r>
    </w:p>
    <w:p>
      <w:pPr>
        <w:spacing w:after="0" w:line="5" w:lineRule="exact"/>
        <w:rPr>
          <w:sz w:val="20"/>
          <w:szCs w:val="20"/>
          <w:color w:val="auto"/>
        </w:rPr>
      </w:pPr>
    </w:p>
    <w:p>
      <w:pPr>
        <w:jc w:val="center"/>
        <w:ind w:right="3479"/>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5" w:lineRule="exact"/>
        <w:rPr>
          <w:sz w:val="20"/>
          <w:szCs w:val="20"/>
          <w:color w:val="auto"/>
        </w:rPr>
      </w:pPr>
    </w:p>
    <w:p>
      <w:pPr>
        <w:jc w:val="center"/>
        <w:ind w:right="3479"/>
        <w:spacing w:after="0"/>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76" w:name="page77"/>
    <w:bookmarkEnd w:id="76"/>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 Matthew R. Mercier, certify that:</w:t>
      </w:r>
    </w:p>
    <w:p>
      <w:pPr>
        <w:spacing w:after="0" w:line="221" w:lineRule="exact"/>
        <w:rPr>
          <w:sz w:val="20"/>
          <w:szCs w:val="20"/>
          <w:color w:val="auto"/>
        </w:rPr>
      </w:pPr>
    </w:p>
    <w:p>
      <w:pPr>
        <w:ind w:left="820" w:hanging="611"/>
        <w:spacing w:after="0"/>
        <w:tabs>
          <w:tab w:leader="none" w:pos="8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Digital Realty Trust, L.P.;</w:t>
      </w:r>
    </w:p>
    <w:p>
      <w:pPr>
        <w:spacing w:after="0" w:line="207" w:lineRule="exact"/>
        <w:rPr>
          <w:rFonts w:ascii="Times New Roman" w:cs="Times New Roman" w:eastAsia="Times New Roman" w:hAnsi="Times New Roman"/>
          <w:sz w:val="16"/>
          <w:szCs w:val="16"/>
          <w:color w:val="auto"/>
        </w:rPr>
      </w:pPr>
    </w:p>
    <w:p>
      <w:pPr>
        <w:ind w:left="860" w:right="239" w:hanging="651"/>
        <w:spacing w:after="0" w:line="272" w:lineRule="auto"/>
        <w:tabs>
          <w:tab w:leader="none" w:pos="8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6"/>
          <w:szCs w:val="16"/>
          <w:color w:val="auto"/>
        </w:rPr>
      </w:pPr>
    </w:p>
    <w:p>
      <w:pPr>
        <w:ind w:left="860" w:right="219" w:hanging="651"/>
        <w:spacing w:after="0" w:line="263" w:lineRule="auto"/>
        <w:tabs>
          <w:tab w:leader="none" w:pos="8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860" w:right="379" w:hanging="651"/>
        <w:spacing w:after="0" w:line="263" w:lineRule="auto"/>
        <w:tabs>
          <w:tab w:leader="none" w:pos="81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ind w:left="860" w:right="239" w:hanging="327"/>
        <w:spacing w:after="0" w:line="263"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6"/>
          <w:szCs w:val="16"/>
          <w:color w:val="auto"/>
        </w:rPr>
      </w:pPr>
    </w:p>
    <w:p>
      <w:pPr>
        <w:ind w:left="860" w:right="479" w:hanging="327"/>
        <w:spacing w:after="0" w:line="272"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6"/>
          <w:szCs w:val="16"/>
          <w:color w:val="auto"/>
        </w:rPr>
      </w:pPr>
    </w:p>
    <w:p>
      <w:pPr>
        <w:ind w:left="860" w:right="379" w:hanging="327"/>
        <w:spacing w:after="0" w:line="263"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6"/>
          <w:szCs w:val="16"/>
          <w:color w:val="auto"/>
        </w:rPr>
      </w:pPr>
    </w:p>
    <w:p>
      <w:pPr>
        <w:ind w:left="860" w:right="479" w:hanging="327"/>
        <w:spacing w:after="0" w:line="263"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6"/>
          <w:szCs w:val="16"/>
          <w:color w:val="auto"/>
        </w:rPr>
      </w:pPr>
    </w:p>
    <w:p>
      <w:pPr>
        <w:ind w:left="860" w:right="519" w:hanging="651"/>
        <w:spacing w:after="0" w:line="272" w:lineRule="auto"/>
        <w:tabs>
          <w:tab w:leader="none" w:pos="81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Times New Roman" w:cs="Times New Roman" w:eastAsia="Times New Roman" w:hAnsi="Times New Roman"/>
          <w:sz w:val="16"/>
          <w:szCs w:val="16"/>
          <w:color w:val="auto"/>
        </w:rPr>
      </w:pPr>
    </w:p>
    <w:p>
      <w:pPr>
        <w:ind w:left="860" w:right="299" w:hanging="327"/>
        <w:spacing w:after="0" w:line="272"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6"/>
          <w:szCs w:val="16"/>
          <w:color w:val="auto"/>
        </w:rPr>
      </w:pPr>
    </w:p>
    <w:p>
      <w:pPr>
        <w:ind w:left="860" w:right="639" w:hanging="327"/>
        <w:spacing w:after="0" w:line="280"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48" w:lineRule="exact"/>
        <w:rPr>
          <w:sz w:val="20"/>
          <w:szCs w:val="20"/>
          <w:color w:val="auto"/>
        </w:rPr>
      </w:pPr>
    </w:p>
    <w:p>
      <w:pPr>
        <w:ind w:left="240"/>
        <w:spacing w:after="0"/>
        <w:tabs>
          <w:tab w:leader="none" w:pos="19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37465</wp:posOffset>
            </wp:positionV>
            <wp:extent cx="25800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6"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23"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8"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15" w:lineRule="exact"/>
        <w:rPr>
          <w:sz w:val="20"/>
          <w:szCs w:val="20"/>
          <w:color w:val="auto"/>
        </w:rPr>
      </w:pPr>
    </w:p>
    <w:p>
      <w:pPr>
        <w:jc w:val="center"/>
        <w:ind w:right="3239"/>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54521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77" w:name="page78"/>
    <w:bookmarkEnd w:id="77"/>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3" w:lineRule="exact"/>
        <w:rPr>
          <w:sz w:val="20"/>
          <w:szCs w:val="20"/>
          <w:color w:val="auto"/>
        </w:rPr>
      </w:pPr>
    </w:p>
    <w:p>
      <w:pPr>
        <w:ind w:left="200" w:right="619"/>
        <w:spacing w:after="0" w:line="280"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Digital Realty Trust, Inc. (the “Company”) hereby certifies, to such officer’s knowledge, that:</w:t>
      </w:r>
    </w:p>
    <w:p>
      <w:pPr>
        <w:spacing w:after="0" w:line="151" w:lineRule="exact"/>
        <w:rPr>
          <w:sz w:val="20"/>
          <w:szCs w:val="20"/>
          <w:color w:val="auto"/>
        </w:rPr>
      </w:pPr>
    </w:p>
    <w:p>
      <w:pPr>
        <w:ind w:left="540" w:right="439" w:hanging="331"/>
        <w:spacing w:after="0" w:line="272" w:lineRule="auto"/>
        <w:tabs>
          <w:tab w:leader="none" w:pos="53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quarterly period ended September 30, 2026 (the “Report”) fully complies with the requirements of Section 13(a) or Section 15(d) of the Securities Exchange Act of 1934, as amended; and</w:t>
      </w:r>
    </w:p>
    <w:p>
      <w:pPr>
        <w:spacing w:after="0" w:line="170" w:lineRule="exact"/>
        <w:rPr>
          <w:rFonts w:ascii="Times New Roman" w:cs="Times New Roman" w:eastAsia="Times New Roman" w:hAnsi="Times New Roman"/>
          <w:sz w:val="16"/>
          <w:szCs w:val="16"/>
          <w:color w:val="auto"/>
        </w:rPr>
      </w:pPr>
    </w:p>
    <w:p>
      <w:pPr>
        <w:ind w:left="540" w:right="259" w:hanging="331"/>
        <w:spacing w:after="0" w:line="280" w:lineRule="auto"/>
        <w:tabs>
          <w:tab w:leader="none" w:pos="53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at the dates and for the periods indicated.</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62"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7686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Andrew P. Power</w:t>
      </w:r>
    </w:p>
    <w:p>
      <w:pPr>
        <w:spacing w:after="0" w:line="73"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President &amp; Chief Executive Officer</w:t>
      </w:r>
    </w:p>
    <w:p>
      <w:pPr>
        <w:spacing w:after="0" w:line="248" w:lineRule="exact"/>
        <w:rPr>
          <w:sz w:val="20"/>
          <w:szCs w:val="20"/>
          <w:color w:val="auto"/>
        </w:rPr>
      </w:pPr>
    </w:p>
    <w:p>
      <w:pPr>
        <w:ind w:left="200" w:right="559"/>
        <w:spacing w:after="0" w:line="263" w:lineRule="auto"/>
        <w:rPr>
          <w:sz w:val="20"/>
          <w:szCs w:val="20"/>
          <w:color w:val="auto"/>
        </w:rPr>
      </w:pPr>
      <w:r>
        <w:rPr>
          <w:rFonts w:ascii="Times New Roman" w:cs="Times New Roman" w:eastAsia="Times New Roman" w:hAnsi="Times New Roman"/>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8" w:lineRule="exact"/>
        <w:rPr>
          <w:sz w:val="20"/>
          <w:szCs w:val="20"/>
          <w:color w:val="auto"/>
        </w:rPr>
      </w:pPr>
    </w:p>
    <w:p>
      <w:pPr>
        <w:ind w:left="200" w:right="419"/>
        <w:spacing w:after="0" w:line="28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78" w:name="page79"/>
    <w:bookmarkEnd w:id="78"/>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3" w:lineRule="exact"/>
        <w:rPr>
          <w:sz w:val="20"/>
          <w:szCs w:val="20"/>
          <w:color w:val="auto"/>
        </w:rPr>
      </w:pPr>
    </w:p>
    <w:p>
      <w:pPr>
        <w:ind w:left="200" w:right="619"/>
        <w:spacing w:after="0" w:line="280"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Digital Realty Trust, Inc. (the “Company”) hereby certifies, to such officer’s knowledge, that:</w:t>
      </w:r>
    </w:p>
    <w:p>
      <w:pPr>
        <w:spacing w:after="0" w:line="151" w:lineRule="exact"/>
        <w:rPr>
          <w:sz w:val="20"/>
          <w:szCs w:val="20"/>
          <w:color w:val="auto"/>
        </w:rPr>
      </w:pPr>
    </w:p>
    <w:p>
      <w:pPr>
        <w:ind w:left="540" w:right="439" w:hanging="331"/>
        <w:spacing w:after="0" w:line="272" w:lineRule="auto"/>
        <w:tabs>
          <w:tab w:leader="none" w:pos="53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quarterly period ended September 30, 2026 (the “Report”) fully complies with the requirements of Section 13(a) or Section 15(d) of the Securities Exchange Act of 1934, as amended; and</w:t>
      </w:r>
    </w:p>
    <w:p>
      <w:pPr>
        <w:spacing w:after="0" w:line="170" w:lineRule="exact"/>
        <w:rPr>
          <w:rFonts w:ascii="Times New Roman" w:cs="Times New Roman" w:eastAsia="Times New Roman" w:hAnsi="Times New Roman"/>
          <w:sz w:val="16"/>
          <w:szCs w:val="16"/>
          <w:color w:val="auto"/>
        </w:rPr>
      </w:pPr>
    </w:p>
    <w:p>
      <w:pPr>
        <w:ind w:left="540" w:right="259" w:hanging="331"/>
        <w:spacing w:after="0" w:line="280" w:lineRule="auto"/>
        <w:tabs>
          <w:tab w:leader="none" w:pos="53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at the dates and for the periods indicated.</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89"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7686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73"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48" w:lineRule="exact"/>
        <w:rPr>
          <w:sz w:val="20"/>
          <w:szCs w:val="20"/>
          <w:color w:val="auto"/>
        </w:rPr>
      </w:pPr>
    </w:p>
    <w:p>
      <w:pPr>
        <w:ind w:left="200" w:right="559"/>
        <w:spacing w:after="0" w:line="263" w:lineRule="auto"/>
        <w:rPr>
          <w:sz w:val="20"/>
          <w:szCs w:val="20"/>
          <w:color w:val="auto"/>
        </w:rPr>
      </w:pPr>
      <w:r>
        <w:rPr>
          <w:rFonts w:ascii="Times New Roman" w:cs="Times New Roman" w:eastAsia="Times New Roman" w:hAnsi="Times New Roman"/>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8" w:lineRule="exact"/>
        <w:rPr>
          <w:sz w:val="20"/>
          <w:szCs w:val="20"/>
          <w:color w:val="auto"/>
        </w:rPr>
      </w:pPr>
    </w:p>
    <w:p>
      <w:pPr>
        <w:ind w:left="200" w:right="419"/>
        <w:spacing w:after="0" w:line="28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79" w:name="page80"/>
    <w:bookmarkEnd w:id="79"/>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32.3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3" w:lineRule="exact"/>
        <w:rPr>
          <w:sz w:val="20"/>
          <w:szCs w:val="20"/>
          <w:color w:val="auto"/>
        </w:rPr>
      </w:pPr>
    </w:p>
    <w:p>
      <w:pPr>
        <w:jc w:val="both"/>
        <w:ind w:left="200" w:right="619"/>
        <w:spacing w:after="0" w:line="263"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78" w:lineRule="exact"/>
        <w:rPr>
          <w:sz w:val="20"/>
          <w:szCs w:val="20"/>
          <w:color w:val="auto"/>
        </w:rPr>
      </w:pPr>
    </w:p>
    <w:p>
      <w:pPr>
        <w:ind w:left="560" w:hanging="351"/>
        <w:spacing w:after="0"/>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Operating Partnership for the quarterly period ended</w:t>
      </w:r>
    </w:p>
    <w:p>
      <w:pPr>
        <w:spacing w:after="0" w:line="23" w:lineRule="exact"/>
        <w:rPr>
          <w:sz w:val="20"/>
          <w:szCs w:val="20"/>
          <w:color w:val="auto"/>
        </w:rPr>
      </w:pPr>
    </w:p>
    <w:p>
      <w:pPr>
        <w:ind w:left="540" w:right="519"/>
        <w:spacing w:after="0" w:line="257" w:lineRule="auto"/>
        <w:rPr>
          <w:sz w:val="20"/>
          <w:szCs w:val="20"/>
          <w:color w:val="auto"/>
        </w:rPr>
      </w:pPr>
      <w:r>
        <w:rPr>
          <w:rFonts w:ascii="Times New Roman" w:cs="Times New Roman" w:eastAsia="Times New Roman" w:hAnsi="Times New Roman"/>
          <w:sz w:val="16"/>
          <w:szCs w:val="16"/>
          <w:color w:val="auto"/>
        </w:rPr>
        <w:t>September 30, 2026 (the “Report”) fully complies with the requirements of Section 13(a) or Section 15(d) of the Securities Exchange Act of 1934, as amended; and</w:t>
      </w:r>
    </w:p>
    <w:p>
      <w:pPr>
        <w:spacing w:after="0" w:line="182" w:lineRule="exact"/>
        <w:rPr>
          <w:sz w:val="20"/>
          <w:szCs w:val="20"/>
          <w:color w:val="auto"/>
        </w:rPr>
      </w:pPr>
    </w:p>
    <w:p>
      <w:pPr>
        <w:ind w:left="540" w:right="939" w:hanging="331"/>
        <w:spacing w:after="0" w:line="298" w:lineRule="auto"/>
        <w:tabs>
          <w:tab w:leader="none" w:pos="57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Operating Partnership at the dates and for the periods indicated.</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3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768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Andrew P. Power</w:t>
      </w:r>
    </w:p>
    <w:p>
      <w:pPr>
        <w:spacing w:after="0" w:line="59"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President &amp; Chief Executive Officer</w:t>
      </w:r>
    </w:p>
    <w:p>
      <w:pPr>
        <w:spacing w:after="0" w:line="23"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5"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30" w:lineRule="exact"/>
        <w:rPr>
          <w:sz w:val="20"/>
          <w:szCs w:val="20"/>
          <w:color w:val="auto"/>
        </w:rPr>
      </w:pPr>
    </w:p>
    <w:p>
      <w:pPr>
        <w:ind w:left="200" w:right="559"/>
        <w:spacing w:after="0" w:line="263" w:lineRule="auto"/>
        <w:rPr>
          <w:sz w:val="20"/>
          <w:szCs w:val="20"/>
          <w:color w:val="auto"/>
        </w:rPr>
      </w:pPr>
      <w:r>
        <w:rPr>
          <w:rFonts w:ascii="Times New Roman" w:cs="Times New Roman" w:eastAsia="Times New Roman" w:hAnsi="Times New Roman"/>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66" w:lineRule="exact"/>
        <w:rPr>
          <w:sz w:val="20"/>
          <w:szCs w:val="20"/>
          <w:color w:val="auto"/>
        </w:rPr>
      </w:pPr>
    </w:p>
    <w:p>
      <w:pPr>
        <w:ind w:left="200" w:right="639"/>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80" w:name="page81"/>
    <w:bookmarkEnd w:id="80"/>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Exhibit 32.4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3" w:lineRule="exact"/>
        <w:rPr>
          <w:sz w:val="20"/>
          <w:szCs w:val="20"/>
          <w:color w:val="auto"/>
        </w:rPr>
      </w:pPr>
    </w:p>
    <w:p>
      <w:pPr>
        <w:jc w:val="both"/>
        <w:ind w:left="200" w:right="619"/>
        <w:spacing w:after="0" w:line="263"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78" w:lineRule="exact"/>
        <w:rPr>
          <w:sz w:val="20"/>
          <w:szCs w:val="20"/>
          <w:color w:val="auto"/>
        </w:rPr>
      </w:pPr>
    </w:p>
    <w:p>
      <w:pPr>
        <w:ind w:left="520" w:hanging="311"/>
        <w:spacing w:after="0"/>
        <w:tabs>
          <w:tab w:leader="none" w:pos="5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Operating Partnership for the quarterly period ended</w:t>
      </w:r>
    </w:p>
    <w:p>
      <w:pPr>
        <w:spacing w:after="0" w:line="23" w:lineRule="exact"/>
        <w:rPr>
          <w:rFonts w:ascii="Times New Roman" w:cs="Times New Roman" w:eastAsia="Times New Roman" w:hAnsi="Times New Roman"/>
          <w:sz w:val="16"/>
          <w:szCs w:val="16"/>
          <w:color w:val="auto"/>
        </w:rPr>
      </w:pPr>
    </w:p>
    <w:p>
      <w:pPr>
        <w:ind w:left="540" w:right="519"/>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September 30, 2026 (the “Report”) fully complies with the requirements of Section 13(a) or Section 15(d) of the Securities Exchange Act of 1934, as amended; and</w:t>
      </w:r>
    </w:p>
    <w:p>
      <w:pPr>
        <w:spacing w:after="0" w:line="181" w:lineRule="exact"/>
        <w:rPr>
          <w:rFonts w:ascii="Times New Roman" w:cs="Times New Roman" w:eastAsia="Times New Roman" w:hAnsi="Times New Roman"/>
          <w:sz w:val="16"/>
          <w:szCs w:val="16"/>
          <w:color w:val="auto"/>
        </w:rPr>
      </w:pPr>
    </w:p>
    <w:p>
      <w:pPr>
        <w:ind w:left="540" w:right="259" w:hanging="331"/>
        <w:spacing w:after="0" w:line="298" w:lineRule="auto"/>
        <w:tabs>
          <w:tab w:leader="none" w:pos="53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Operating Partnership at the dates and for the periods indicated.</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3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7686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59"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3"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5"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30" w:lineRule="exact"/>
        <w:rPr>
          <w:sz w:val="20"/>
          <w:szCs w:val="20"/>
          <w:color w:val="auto"/>
        </w:rPr>
      </w:pPr>
    </w:p>
    <w:p>
      <w:pPr>
        <w:ind w:left="200" w:right="559"/>
        <w:spacing w:after="0" w:line="263" w:lineRule="auto"/>
        <w:rPr>
          <w:sz w:val="20"/>
          <w:szCs w:val="20"/>
          <w:color w:val="auto"/>
        </w:rPr>
      </w:pPr>
      <w:r>
        <w:rPr>
          <w:rFonts w:ascii="Times New Roman" w:cs="Times New Roman" w:eastAsia="Times New Roman" w:hAnsi="Times New Roman"/>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66" w:lineRule="exact"/>
        <w:rPr>
          <w:sz w:val="20"/>
          <w:szCs w:val="20"/>
          <w:color w:val="auto"/>
        </w:rPr>
      </w:pPr>
    </w:p>
    <w:p>
      <w:pPr>
        <w:ind w:left="200" w:right="639"/>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lvl w:ilvl="3">
      <w:lvlJc w:val="left"/>
      <w:lvlText w:val="%4."/>
      <w:numFmt w:val="lowerRoman"/>
      <w:start w:val="1"/>
    </w:lvl>
  </w:abstractNum>
  <w:abstractNum w:abstractNumId="26">
    <w:nsid w:val="22221A70"/>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101"/>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lowerRoman"/>
      <w:start w:val="1"/>
    </w:lvl>
  </w:abstractNum>
  <w:abstractNum w:abstractNumId="35">
    <w:nsid w:val="77465F01"/>
    <w:multiLevelType w:val="hybridMultilevel"/>
    <w:lvl w:ilvl="0">
      <w:lvlJc w:val="left"/>
      <w:lvlText w:val="(%1)"/>
      <w:numFmt w:val="lowerRoman"/>
      <w:start w:val="1"/>
    </w:lvl>
  </w:abstractNum>
  <w:abstractNum w:abstractNumId="36">
    <w:nsid w:val="7724C67E"/>
    <w:multiLevelType w:val="hybridMultilevel"/>
    <w:lvl w:ilvl="0">
      <w:lvlJc w:val="left"/>
      <w:lvlText w:val="(%1)"/>
      <w:numFmt w:val="lowerRoman"/>
      <w:start w:val="2"/>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98" Type="http://schemas.openxmlformats.org/officeDocument/2006/relationships/hyperlink" Target="https://www.sec.gov/Archives/edgar/data/1297996/000155837025001424/dlr-20241231xex3d1.htm" TargetMode="External"/><Relationship Id="rId99" Type="http://schemas.openxmlformats.org/officeDocument/2006/relationships/hyperlink" Target="https://www.sec.gov/Archives/edgar/data/1297996/000119312526292577/d332992dex31.htm" TargetMode="External"/><Relationship Id="rId100" Type="http://schemas.openxmlformats.org/officeDocument/2006/relationships/hyperlink" Target="https://www.sec.gov/Archives/edgar/data/1297996/000119312523088804/d477117dex31.htm" TargetMode="External"/><Relationship Id="rId101" Type="http://schemas.openxmlformats.org/officeDocument/2006/relationships/hyperlink" Target="https://www.sec.gov/Archives/edgar/data/1494877/000119312510147441/dex31.htm" TargetMode="External"/><Relationship Id="rId102" Type="http://schemas.openxmlformats.org/officeDocument/2006/relationships/hyperlink" Target="https://www.sec.gov/Archives/edgar/data/1297996/000119312519265840/d81634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2026-10-30T16:27:07Z</dcterms:created>
  <dcterms:modified xsi:type="dcterms:W3CDTF">2026-10-30T16:27:07Z</dcterms:modified>
</cp:coreProperties>
</file>