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99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99990"/>
                    </a:xfrm>
                    <a:prstGeom prst="rect">
                      <a:avLst/>
                    </a:prstGeom>
                    <a:noFill/>
                  </pic:spPr>
                </pic:pic>
              </a:graphicData>
            </a:graphic>
          </wp:anchor>
        </w:drawing>
      </w:r>
    </w:p>
    <w:p>
      <w:pPr>
        <w:sectPr>
          <w:pgSz w:w="11900" w:h="16838" w:orient="portrait"/>
          <w:cols w:equalWidth="0" w:num="1">
            <w:col w:w="10940"/>
          </w:cols>
          <w:pgMar w:left="480" w:top="230" w:right="479" w:bottom="53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Lee Jeannie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40" w:type="dxa"/>
            <w:vAlign w:val="bottom"/>
            <w:tcBorders>
              <w:top w:val="single" w:sz="8" w:color="0000EE"/>
              <w:bottom w:val="single" w:sz="8" w:color="9A9A9A"/>
            </w:tcBorders>
          </w:tcPr>
          <w:p>
            <w:pPr>
              <w:spacing w:after="0"/>
              <w:rPr>
                <w:sz w:val="17"/>
                <w:szCs w:val="17"/>
                <w:color w:val="auto"/>
              </w:rPr>
            </w:pPr>
          </w:p>
        </w:tc>
        <w:tc>
          <w:tcPr>
            <w:tcW w:w="19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04/22/2022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DIGITAL REALTY TRUST, L.P.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DLR</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39" w:lineRule="exact"/>
        <w:rPr>
          <w:sz w:val="24"/>
          <w:szCs w:val="24"/>
          <w:color w:val="auto"/>
        </w:rPr>
      </w:pPr>
    </w:p>
    <w:p>
      <w:pPr>
        <w:sectPr>
          <w:pgSz w:w="11900" w:h="16838" w:orient="portrait"/>
          <w:cols w:equalWidth="0" w:num="2">
            <w:col w:w="4720" w:space="280"/>
            <w:col w:w="5940"/>
          </w:cols>
          <w:pgMar w:left="480" w:top="230" w:right="479" w:bottom="535"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00" w:type="dxa"/>
            <w:vAlign w:val="bottom"/>
          </w:tcPr>
          <w:p>
            <w:pPr>
              <w:ind w:left="40"/>
              <w:spacing w:after="0"/>
              <w:rPr>
                <w:sz w:val="20"/>
                <w:szCs w:val="20"/>
                <w:color w:val="auto"/>
              </w:rPr>
            </w:pPr>
            <w:r>
              <w:rPr>
                <w:rFonts w:ascii="Arial" w:cs="Arial" w:eastAsia="Arial" w:hAnsi="Arial"/>
                <w:sz w:val="15"/>
                <w:szCs w:val="15"/>
                <w:color w:val="auto"/>
              </w:rPr>
              <w:t>(Last)</w:t>
            </w:r>
          </w:p>
        </w:tc>
        <w:tc>
          <w:tcPr>
            <w:tcW w:w="860" w:type="dxa"/>
            <w:vAlign w:val="bottom"/>
          </w:tcPr>
          <w:p>
            <w:pPr>
              <w:ind w:left="16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5707 SOUTHWEST PARKWAY</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BUILDING 1, SUITE 275</w:t>
            </w:r>
          </w:p>
        </w:tc>
      </w:tr>
      <w:tr>
        <w:trPr>
          <w:trHeight w:val="177"/>
        </w:trPr>
        <w:tc>
          <w:tcPr>
            <w:tcW w:w="90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90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9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AUSTIN</w:t>
            </w:r>
          </w:p>
        </w:tc>
        <w:tc>
          <w:tcPr>
            <w:tcW w:w="86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TX</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78735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683"/>
        <w:spacing w:after="0"/>
        <w:rPr>
          <w:sz w:val="20"/>
          <w:szCs w:val="20"/>
          <w:color w:val="auto"/>
        </w:rPr>
      </w:pPr>
      <w:r>
        <w:rPr>
          <w:rFonts w:ascii="Times New Roman" w:cs="Times New Roman" w:eastAsia="Times New Roman" w:hAnsi="Times New Roman"/>
          <w:sz w:val="20"/>
          <w:szCs w:val="20"/>
          <w:color w:val="0000FF"/>
        </w:rPr>
        <w:t>EVP, General Counsel</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535"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860" w:type="dxa"/>
            <w:vAlign w:val="bottom"/>
            <w:vMerge w:val="restart"/>
          </w:tcPr>
          <w:p>
            <w:pPr>
              <w:ind w:left="2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60" w:type="dxa"/>
            <w:vAlign w:val="bottom"/>
          </w:tcPr>
          <w:p>
            <w:pPr>
              <w:ind w:left="2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60" w:type="dxa"/>
            <w:vAlign w:val="bottom"/>
          </w:tcPr>
          <w:p>
            <w:pPr>
              <w:ind w:left="2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tcPr>
          <w:p>
            <w:pPr>
              <w:spacing w:after="0"/>
              <w:rPr>
                <w:sz w:val="14"/>
                <w:szCs w:val="14"/>
                <w:color w:val="auto"/>
              </w:rPr>
            </w:pPr>
          </w:p>
        </w:tc>
        <w:tc>
          <w:tcPr>
            <w:tcW w:w="860" w:type="dxa"/>
            <w:vAlign w:val="bottom"/>
          </w:tcPr>
          <w:p>
            <w:pPr>
              <w:ind w:left="2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60" w:type="dxa"/>
            <w:vAlign w:val="bottom"/>
          </w:tcPr>
          <w:p>
            <w:pPr>
              <w:ind w:left="2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Long-Term Incentive Units</w:t>
            </w:r>
            <w:r>
              <w:rPr>
                <w:rFonts w:ascii="Times New Roman" w:cs="Times New Roman" w:eastAsia="Times New Roman" w:hAnsi="Times New Roman"/>
                <w:sz w:val="25"/>
                <w:szCs w:val="25"/>
                <w:color w:val="008000"/>
                <w:vertAlign w:val="superscript"/>
              </w:rPr>
              <w:t>(1)</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7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Units</w:t>
            </w:r>
          </w:p>
        </w:tc>
        <w:tc>
          <w:tcPr>
            <w:tcW w:w="8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6,893</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Long-Term Incentive Units</w:t>
            </w:r>
            <w:r>
              <w:rPr>
                <w:rFonts w:ascii="Times New Roman" w:cs="Times New Roman" w:eastAsia="Times New Roman" w:hAnsi="Times New Roman"/>
                <w:sz w:val="25"/>
                <w:szCs w:val="25"/>
                <w:color w:val="008000"/>
                <w:vertAlign w:val="superscript"/>
              </w:rPr>
              <w:t>(1)</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(4)</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7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Units</w:t>
            </w:r>
          </w:p>
        </w:tc>
        <w:tc>
          <w:tcPr>
            <w:tcW w:w="8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2,261</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Long-Term Incentive Units</w:t>
            </w:r>
            <w:r>
              <w:rPr>
                <w:rFonts w:ascii="Times New Roman" w:cs="Times New Roman" w:eastAsia="Times New Roman" w:hAnsi="Times New Roman"/>
                <w:sz w:val="25"/>
                <w:szCs w:val="25"/>
                <w:color w:val="008000"/>
                <w:vertAlign w:val="superscript"/>
              </w:rPr>
              <w:t>(1)</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(5)</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7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Units</w:t>
            </w:r>
          </w:p>
        </w:tc>
        <w:tc>
          <w:tcPr>
            <w:tcW w:w="8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1,795</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140" w:firstLine="5"/>
        <w:spacing w:after="0" w:line="237"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Long-term incentive units are profits interest units in the Issuer, of which Digital Realty Trust, Inc. ("General Partner") is the general partner. Vested profits interest units may be converted into an equal number of common limited partnership ("Common Units") in the Issuer subject to the terms of the Issuer's limited partnership agreement. Common Units are redeemable for cash based on the fair market value of an equivalent numbers of shares of the General Partner's common stock, or, at the election of the General Partner, for an equal number of shares of the General Partner's common stock, subject to adjustment in the event of stock splits, stock dividends, issuance of stock rights, specified extraordinary distributions or similar events.</w:t>
      </w:r>
    </w:p>
    <w:p>
      <w:pPr>
        <w:spacing w:after="0" w:line="33"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units will vest in two equal annual installments beginning on October 1, 2022.</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N/A</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units will vest in four equal annual installments beginning on February 25, 2023.</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units will vest in two equal annual installments beginning on March 4, 2023.</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right="360"/>
        <w:spacing w:after="0" w:line="244" w:lineRule="auto"/>
        <w:rPr>
          <w:sz w:val="20"/>
          <w:szCs w:val="20"/>
          <w:color w:val="auto"/>
        </w:rPr>
      </w:pPr>
      <w:r>
        <w:rPr>
          <w:rFonts w:ascii="Times New Roman" w:cs="Times New Roman" w:eastAsia="Times New Roman" w:hAnsi="Times New Roman"/>
          <w:sz w:val="15"/>
          <w:szCs w:val="15"/>
          <w:color w:val="008000"/>
        </w:rPr>
        <w:t>This initial statement of beneficial ownership of securities ("Form 3") of the Issuer is filed to report information that is also being reported concurrently on a Form 3 for Digital Realty Trust, Inc.., a Maryland corporation and the general partner of the Issuer (the "General Partner"). The information reported on this Form 3 for the Issuer is the same information reported in the Form 3 for the General Partner.</w:t>
      </w:r>
    </w:p>
    <w:p>
      <w:pPr>
        <w:spacing w:after="0" w:line="39"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Salini Nandipati,</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05/02/2022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4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6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535"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u w:val="single" w:color="auto"/>
          <w:color w:val="auto"/>
        </w:rPr>
        <w:t>POWER OF ATTORNEY</w:t>
      </w:r>
    </w:p>
    <w:p>
      <w:pPr>
        <w:spacing w:after="0" w:line="270" w:lineRule="exact"/>
        <w:rPr>
          <w:sz w:val="20"/>
          <w:szCs w:val="20"/>
          <w:color w:val="auto"/>
        </w:rPr>
      </w:pPr>
    </w:p>
    <w:p>
      <w:pPr>
        <w:jc w:val="both"/>
        <w:ind w:firstLine="720"/>
        <w:spacing w:after="0" w:line="250" w:lineRule="auto"/>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each of Salini Nandipati and Chris Visgilio, or each of them singly, to be the undersigned’s true and lawful attorney-in-fact to:</w:t>
      </w:r>
    </w:p>
    <w:p>
      <w:pPr>
        <w:spacing w:after="0" w:line="218" w:lineRule="exact"/>
        <w:rPr>
          <w:sz w:val="20"/>
          <w:szCs w:val="20"/>
          <w:color w:val="auto"/>
        </w:rPr>
      </w:pPr>
    </w:p>
    <w:p>
      <w:pPr>
        <w:jc w:val="both"/>
        <w:ind w:left="1080" w:hanging="360"/>
        <w:spacing w:after="0" w:line="242" w:lineRule="auto"/>
        <w:tabs>
          <w:tab w:leader="none" w:pos="105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29" w:lineRule="exact"/>
        <w:rPr>
          <w:rFonts w:ascii="Times New Roman" w:cs="Times New Roman" w:eastAsia="Times New Roman" w:hAnsi="Times New Roman"/>
          <w:sz w:val="24"/>
          <w:szCs w:val="24"/>
          <w:color w:val="auto"/>
        </w:rPr>
      </w:pPr>
    </w:p>
    <w:p>
      <w:pPr>
        <w:jc w:val="both"/>
        <w:ind w:left="1080" w:hanging="360"/>
        <w:spacing w:after="0" w:line="242" w:lineRule="auto"/>
        <w:tabs>
          <w:tab w:leader="none" w:pos="105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an officer, director and/or stockholder of Digital Realty Trust, Inc. and, in Digital Realty Trust, Inc.’s capacity as general partner of Digital Realty Trust, L.P., Digital Realty Trust, L.P. (together, the “Company”), Forms 3, 4, and 5 and amendments thereto in accordance with Section 16(a) of the Securities Exchange Act of 1934 and the rules thereunder;</w:t>
      </w:r>
    </w:p>
    <w:p>
      <w:pPr>
        <w:spacing w:after="0" w:line="229" w:lineRule="exact"/>
        <w:rPr>
          <w:rFonts w:ascii="Times New Roman" w:cs="Times New Roman" w:eastAsia="Times New Roman" w:hAnsi="Times New Roman"/>
          <w:sz w:val="24"/>
          <w:szCs w:val="24"/>
          <w:color w:val="auto"/>
        </w:rPr>
      </w:pPr>
    </w:p>
    <w:p>
      <w:pPr>
        <w:jc w:val="both"/>
        <w:ind w:left="1080" w:hanging="360"/>
        <w:spacing w:after="0" w:line="245" w:lineRule="auto"/>
        <w:tabs>
          <w:tab w:leader="none" w:pos="105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and execute any such Form 3, 4, or 5 and any amendments thereto and timely file such forms with the SEC and any stock exchange or similar authority, including, but not limited to, taking any actions necessary or desirable in connection with effectuating electronic filings; and</w:t>
      </w:r>
    </w:p>
    <w:p>
      <w:pPr>
        <w:spacing w:after="0" w:line="223" w:lineRule="exact"/>
        <w:rPr>
          <w:rFonts w:ascii="Times New Roman" w:cs="Times New Roman" w:eastAsia="Times New Roman" w:hAnsi="Times New Roman"/>
          <w:sz w:val="24"/>
          <w:szCs w:val="24"/>
          <w:color w:val="auto"/>
        </w:rPr>
      </w:pPr>
    </w:p>
    <w:p>
      <w:pPr>
        <w:jc w:val="both"/>
        <w:ind w:left="1080" w:hanging="360"/>
        <w:spacing w:after="0" w:line="242" w:lineRule="auto"/>
        <w:tabs>
          <w:tab w:leader="none" w:pos="105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which, in the opinion of such attorney-in-fact, may be necessary or desirable in connection with the foregoing authority,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29" w:lineRule="exact"/>
        <w:rPr>
          <w:sz w:val="20"/>
          <w:szCs w:val="20"/>
          <w:color w:val="auto"/>
        </w:rPr>
      </w:pPr>
    </w:p>
    <w:p>
      <w:pPr>
        <w:jc w:val="both"/>
        <w:ind w:firstLine="916"/>
        <w:spacing w:after="0" w:line="238"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589280</wp:posOffset>
            </wp:positionV>
            <wp:extent cx="6946900" cy="104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4775"/>
                    </a:xfrm>
                    <a:prstGeom prst="rect">
                      <a:avLst/>
                    </a:prstGeom>
                    <a:noFill/>
                  </pic:spPr>
                </pic:pic>
              </a:graphicData>
            </a:graphic>
          </wp:anchor>
        </w:drawing>
      </w:r>
    </w:p>
    <w:p>
      <w:pPr>
        <w:sectPr>
          <w:pgSz w:w="11900" w:h="16838" w:orient="portrait"/>
          <w:cols w:equalWidth="0" w:num="1">
            <w:col w:w="10940"/>
          </w:cols>
          <w:pgMar w:left="480" w:top="104" w:right="479" w:bottom="1440" w:gutter="0" w:footer="0" w:header="0"/>
        </w:sectPr>
      </w:pPr>
    </w:p>
    <w:bookmarkStart w:id="2" w:name="page3"/>
    <w:bookmarkEnd w:id="2"/>
    <w:p>
      <w:pPr>
        <w:jc w:val="both"/>
        <w:ind w:firstLine="377"/>
        <w:spacing w:after="0" w:line="242"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SEC as a confirming statement of the authority granted herein.</w:t>
      </w:r>
    </w:p>
    <w:p>
      <w:pPr>
        <w:spacing w:after="0" w:line="200" w:lineRule="exact"/>
        <w:rPr>
          <w:sz w:val="20"/>
          <w:szCs w:val="20"/>
          <w:color w:val="auto"/>
        </w:rPr>
      </w:pPr>
    </w:p>
    <w:p>
      <w:pPr>
        <w:spacing w:after="0" w:line="317" w:lineRule="exact"/>
        <w:rPr>
          <w:sz w:val="20"/>
          <w:szCs w:val="20"/>
          <w:color w:val="auto"/>
        </w:rPr>
      </w:pPr>
    </w:p>
    <w:p>
      <w:pPr>
        <w:jc w:val="both"/>
        <w:ind w:firstLine="411"/>
        <w:spacing w:after="0" w:line="20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this 28</w:t>
      </w:r>
      <w:r>
        <w:rPr>
          <w:rFonts w:ascii="Times New Roman" w:cs="Times New Roman" w:eastAsia="Times New Roman" w:hAnsi="Times New Roman"/>
          <w:sz w:val="40"/>
          <w:szCs w:val="40"/>
          <w:color w:val="auto"/>
          <w:vertAlign w:val="superscript"/>
        </w:rPr>
        <w:t>th</w:t>
      </w:r>
      <w:r>
        <w:rPr>
          <w:rFonts w:ascii="Times New Roman" w:cs="Times New Roman" w:eastAsia="Times New Roman" w:hAnsi="Times New Roman"/>
          <w:sz w:val="24"/>
          <w:szCs w:val="24"/>
          <w:color w:val="auto"/>
        </w:rPr>
        <w:t xml:space="preserve"> day of April 2022</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u w:val="single" w:color="auto"/>
          <w:color w:val="auto"/>
        </w:rPr>
        <w:t>/s/_Jeannie Lee ___</w:t>
      </w:r>
      <w:r>
        <w:rPr>
          <w:rFonts w:ascii="Times New Roman" w:cs="Times New Roman" w:eastAsia="Times New Roman" w:hAnsi="Times New Roman"/>
          <w:sz w:val="24"/>
          <w:szCs w:val="24"/>
          <w:color w:val="auto"/>
        </w:rPr>
        <w:t>Jeannie Lee</w:t>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926524" TargetMode="External"/><Relationship Id="rId11" Type="http://schemas.openxmlformats.org/officeDocument/2006/relationships/hyperlink" Target="http://www.sec.gov/cgi-bin/browse-edgar?action=getcompany&amp;CIK=00014948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2022-05-02T18:47:50Z</dcterms:created>
  <dcterms:modified xsi:type="dcterms:W3CDTF">2022-05-02T18:47:50Z</dcterms:modified>
</cp:coreProperties>
</file>