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355 South Grand Avenue, Suite 100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Los Angeles, California 90071-1560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Tel: +1.213.485.1234 Fax: +1.213.891.8763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www.lw.com</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FIRM / AFFILIATE OFFICES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Austin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Milan</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Beijing</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Munich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Boston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Brussels</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Orange County</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Century City</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Paris</w:t>
            </w: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July 17, 2024</w:t>
            </w: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Chicago</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Riyadh</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Dubai</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San Diego</w:t>
            </w:r>
          </w:p>
        </w:tc>
        <w:tc>
          <w:tcPr>
            <w:tcW w:w="0" w:type="dxa"/>
            <w:vAlign w:val="bottom"/>
          </w:tcPr>
          <w:p>
            <w:pPr>
              <w:spacing w:after="0"/>
              <w:rPr>
                <w:sz w:val="1"/>
                <w:szCs w:val="1"/>
                <w:color w:val="auto"/>
              </w:rPr>
            </w:pPr>
          </w:p>
        </w:tc>
      </w:tr>
      <w:tr>
        <w:trPr>
          <w:trHeight w:val="216"/>
        </w:trPr>
        <w:tc>
          <w:tcPr>
            <w:tcW w:w="61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VIA EDGAR</w:t>
            </w: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Düsseldorf</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San Francisco</w:t>
            </w:r>
          </w:p>
        </w:tc>
        <w:tc>
          <w:tcPr>
            <w:tcW w:w="0" w:type="dxa"/>
            <w:vAlign w:val="bottom"/>
          </w:tcPr>
          <w:p>
            <w:pPr>
              <w:spacing w:after="0"/>
              <w:rPr>
                <w:sz w:val="1"/>
                <w:szCs w:val="1"/>
                <w:color w:val="auto"/>
              </w:rPr>
            </w:pPr>
          </w:p>
        </w:tc>
      </w:tr>
      <w:tr>
        <w:trPr>
          <w:trHeight w:val="194"/>
        </w:trPr>
        <w:tc>
          <w:tcPr>
            <w:tcW w:w="6100" w:type="dxa"/>
            <w:vAlign w:val="bottom"/>
            <w:gridSpan w:val="3"/>
            <w:vMerge w:val="continue"/>
          </w:tcPr>
          <w:p>
            <w:pPr>
              <w:spacing w:after="0"/>
              <w:rPr>
                <w:sz w:val="16"/>
                <w:szCs w:val="16"/>
                <w:color w:val="auto"/>
              </w:rPr>
            </w:pPr>
          </w:p>
        </w:tc>
        <w:tc>
          <w:tcPr>
            <w:tcW w:w="2800" w:type="dxa"/>
            <w:vAlign w:val="bottom"/>
          </w:tcPr>
          <w:p>
            <w:pPr>
              <w:ind w:left="1300"/>
              <w:spacing w:after="0" w:line="194" w:lineRule="exact"/>
              <w:rPr>
                <w:sz w:val="20"/>
                <w:szCs w:val="20"/>
                <w:color w:val="auto"/>
              </w:rPr>
            </w:pPr>
            <w:r>
              <w:rPr>
                <w:rFonts w:ascii="Times New Roman" w:cs="Times New Roman" w:eastAsia="Times New Roman" w:hAnsi="Times New Roman"/>
                <w:sz w:val="18"/>
                <w:szCs w:val="18"/>
                <w:color w:val="auto"/>
              </w:rPr>
              <w:t>Frankfurt</w:t>
            </w:r>
          </w:p>
        </w:tc>
        <w:tc>
          <w:tcPr>
            <w:tcW w:w="1860" w:type="dxa"/>
            <w:vAlign w:val="bottom"/>
          </w:tcPr>
          <w:p>
            <w:pPr>
              <w:ind w:left="580"/>
              <w:spacing w:after="0" w:line="194" w:lineRule="exact"/>
              <w:rPr>
                <w:sz w:val="20"/>
                <w:szCs w:val="20"/>
                <w:color w:val="auto"/>
              </w:rPr>
            </w:pPr>
            <w:r>
              <w:rPr>
                <w:rFonts w:ascii="Times New Roman" w:cs="Times New Roman" w:eastAsia="Times New Roman" w:hAnsi="Times New Roman"/>
                <w:sz w:val="18"/>
                <w:szCs w:val="18"/>
                <w:color w:val="auto"/>
              </w:rPr>
              <w:t>Seoul</w:t>
            </w:r>
          </w:p>
        </w:tc>
        <w:tc>
          <w:tcPr>
            <w:tcW w:w="0" w:type="dxa"/>
            <w:vAlign w:val="bottom"/>
          </w:tcPr>
          <w:p>
            <w:pPr>
              <w:spacing w:after="0"/>
              <w:rPr>
                <w:sz w:val="1"/>
                <w:szCs w:val="1"/>
                <w:color w:val="auto"/>
              </w:rPr>
            </w:pPr>
          </w:p>
        </w:tc>
      </w:tr>
      <w:tr>
        <w:trPr>
          <w:trHeight w:val="218"/>
        </w:trPr>
        <w:tc>
          <w:tcPr>
            <w:tcW w:w="8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80" w:type="dxa"/>
            <w:vAlign w:val="bottom"/>
          </w:tcPr>
          <w:p>
            <w:pPr>
              <w:spacing w:after="0"/>
              <w:rPr>
                <w:sz w:val="18"/>
                <w:szCs w:val="18"/>
                <w:color w:val="auto"/>
              </w:rPr>
            </w:pP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Hamburg</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Silicon Valley</w:t>
            </w: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Securities and Exchange Commission</w:t>
            </w: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Hong Kong</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Singapore</w:t>
            </w: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Division of Corporation Finance</w:t>
            </w: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Houston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Tel Aviv</w:t>
            </w: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Office of Real Estate &amp; Construction</w:t>
            </w: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London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Tokyo</w:t>
            </w: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 F Street N.E.</w:t>
            </w: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Los Angeles</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Washington, D.C.</w:t>
            </w:r>
          </w:p>
        </w:tc>
        <w:tc>
          <w:tcPr>
            <w:tcW w:w="0" w:type="dxa"/>
            <w:vAlign w:val="bottom"/>
          </w:tcPr>
          <w:p>
            <w:pPr>
              <w:spacing w:after="0"/>
              <w:rPr>
                <w:sz w:val="1"/>
                <w:szCs w:val="1"/>
                <w:color w:val="auto"/>
              </w:rPr>
            </w:pPr>
          </w:p>
        </w:tc>
      </w:tr>
      <w:tr>
        <w:trPr>
          <w:trHeight w:val="234"/>
        </w:trPr>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Washington, D.C. 20549</w:t>
            </w:r>
          </w:p>
        </w:tc>
        <w:tc>
          <w:tcPr>
            <w:tcW w:w="28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Madrid</w:t>
            </w: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2"/>
              </w:rPr>
              <w:t>Attention: </w:t>
            </w:r>
          </w:p>
        </w:tc>
        <w:tc>
          <w:tcPr>
            <w:tcW w:w="52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Eric McPhee</w:t>
            </w: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Wilson Lee</w:t>
            </w: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8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Re:</w:t>
            </w:r>
          </w:p>
        </w:tc>
        <w:tc>
          <w:tcPr>
            <w:tcW w:w="5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Digital Realty Trust, Inc.</w:t>
            </w:r>
          </w:p>
        </w:tc>
        <w:tc>
          <w:tcPr>
            <w:tcW w:w="28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Form 10-K for the year ended December 31, 2023</w:t>
            </w:r>
          </w:p>
        </w:tc>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Form 8-K filed May 2, 2024</w:t>
            </w:r>
          </w:p>
        </w:tc>
        <w:tc>
          <w:tcPr>
            <w:tcW w:w="2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File No. 001-32336</w:t>
            </w:r>
          </w:p>
        </w:tc>
        <w:tc>
          <w:tcPr>
            <w:tcW w:w="28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-3248660</wp:posOffset>
            </wp:positionV>
            <wp:extent cx="2297430" cy="2317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97430" cy="231775"/>
                    </a:xfrm>
                    <a:prstGeom prst="rect">
                      <a:avLst/>
                    </a:prstGeom>
                    <a:noFill/>
                  </pic:spPr>
                </pic:pic>
              </a:graphicData>
            </a:graphic>
          </wp:anchor>
        </w:drawing>
      </w:r>
    </w:p>
    <w:p>
      <w:pPr>
        <w:spacing w:after="0" w:line="70"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left="4" w:right="220" w:firstLine="440"/>
        <w:spacing w:after="0" w:line="262" w:lineRule="auto"/>
        <w:rPr>
          <w:sz w:val="20"/>
          <w:szCs w:val="20"/>
          <w:color w:val="auto"/>
        </w:rPr>
      </w:pPr>
      <w:r>
        <w:rPr>
          <w:rFonts w:ascii="Times New Roman" w:cs="Times New Roman" w:eastAsia="Times New Roman" w:hAnsi="Times New Roman"/>
          <w:sz w:val="18"/>
          <w:szCs w:val="18"/>
          <w:color w:val="auto"/>
        </w:rPr>
        <w:t>On behalf of Digital Realty Trust,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Digital Realty Trust, L.P. (the “</w:t>
      </w:r>
      <w:r>
        <w:rPr>
          <w:rFonts w:ascii="Times New Roman" w:cs="Times New Roman" w:eastAsia="Times New Roman" w:hAnsi="Times New Roman"/>
          <w:sz w:val="18"/>
          <w:szCs w:val="18"/>
          <w:b w:val="1"/>
          <w:bCs w:val="1"/>
          <w:i w:val="1"/>
          <w:iCs w:val="1"/>
          <w:color w:val="auto"/>
        </w:rPr>
        <w:t>Operating Partnership</w:t>
      </w:r>
      <w:r>
        <w:rPr>
          <w:rFonts w:ascii="Times New Roman" w:cs="Times New Roman" w:eastAsia="Times New Roman" w:hAnsi="Times New Roman"/>
          <w:sz w:val="18"/>
          <w:szCs w:val="18"/>
          <w:color w:val="auto"/>
        </w:rPr>
        <w:t>”), set forth below are the Company’s responses to the comments of the Staff (the “</w:t>
      </w:r>
      <w:r>
        <w:rPr>
          <w:rFonts w:ascii="Times New Roman" w:cs="Times New Roman" w:eastAsia="Times New Roman" w:hAnsi="Times New Roman"/>
          <w:sz w:val="18"/>
          <w:szCs w:val="18"/>
          <w:b w:val="1"/>
          <w:bCs w:val="1"/>
          <w:i w:val="1"/>
          <w:iCs w:val="1"/>
          <w:color w:val="auto"/>
        </w:rPr>
        <w:t>Staff</w:t>
      </w:r>
      <w:r>
        <w:rPr>
          <w:rFonts w:ascii="Times New Roman" w:cs="Times New Roman" w:eastAsia="Times New Roman" w:hAnsi="Times New Roman"/>
          <w:sz w:val="18"/>
          <w:szCs w:val="18"/>
          <w:color w:val="auto"/>
        </w:rPr>
        <w:t>”) of the Division of Corporation Finance of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in its letter dated June 17, 2024, relating to the Company’s and the Operating Partnership’s Annual Report on Form 10-K for the fiscal year ended December 31, 2023 and Form 8-K filed on May 2, 2024 (the “</w:t>
      </w:r>
      <w:r>
        <w:rPr>
          <w:rFonts w:ascii="Times New Roman" w:cs="Times New Roman" w:eastAsia="Times New Roman" w:hAnsi="Times New Roman"/>
          <w:sz w:val="18"/>
          <w:szCs w:val="18"/>
          <w:b w:val="1"/>
          <w:bCs w:val="1"/>
          <w:i w:val="1"/>
          <w:iCs w:val="1"/>
          <w:color w:val="auto"/>
        </w:rPr>
        <w:t>First Quarter 2024 Form 8-K</w:t>
      </w:r>
      <w:r>
        <w:rPr>
          <w:rFonts w:ascii="Times New Roman" w:cs="Times New Roman" w:eastAsia="Times New Roman" w:hAnsi="Times New Roman"/>
          <w:sz w:val="18"/>
          <w:szCs w:val="18"/>
          <w:color w:val="auto"/>
        </w:rPr>
        <w:t>”).</w:t>
      </w:r>
    </w:p>
    <w:p>
      <w:pPr>
        <w:spacing w:after="0" w:line="180"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For convenience of reference, the text of the comment in the Staff’s letter has been reproduced in bold and italics herein. The Company has also provided its response immediately after the comment.</w:t>
      </w:r>
    </w:p>
    <w:p>
      <w:pPr>
        <w:spacing w:after="0" w:line="2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Form 8-K filed May 2, 2024</w:t>
      </w:r>
    </w:p>
    <w:p>
      <w:pPr>
        <w:spacing w:after="0" w:line="3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Exhibit No. 99.1</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page 31</w:t>
      </w:r>
    </w:p>
    <w:p>
      <w:pPr>
        <w:spacing w:after="0" w:line="108" w:lineRule="exact"/>
        <w:rPr>
          <w:sz w:val="24"/>
          <w:szCs w:val="24"/>
          <w:color w:val="auto"/>
        </w:rPr>
      </w:pPr>
    </w:p>
    <w:p>
      <w:pPr>
        <w:ind w:left="424" w:right="360" w:hanging="424"/>
        <w:spacing w:after="0" w:line="268" w:lineRule="auto"/>
        <w:tabs>
          <w:tab w:leader="none" w:pos="424"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We note that your measures Core FFO and Adjusted EBITDA contain adjustments for other non-core items. Please tell us what types of revenues or expenses are being added back, and to the extent that these are significant to the non-GAAP measure in future filings, please provide further explanation within your disclosure.</w:t>
      </w:r>
    </w:p>
    <w:p>
      <w:pPr>
        <w:spacing w:after="0" w:line="171" w:lineRule="exact"/>
        <w:rPr>
          <w:sz w:val="24"/>
          <w:szCs w:val="24"/>
          <w:color w:val="auto"/>
        </w:rPr>
      </w:pPr>
    </w:p>
    <w:p>
      <w:pPr>
        <w:ind w:left="4"/>
        <w:spacing w:after="0" w:line="256" w:lineRule="auto"/>
        <w:rPr>
          <w:sz w:val="20"/>
          <w:szCs w:val="20"/>
          <w:color w:val="auto"/>
        </w:rPr>
      </w:pPr>
      <w:r>
        <w:rPr>
          <w:rFonts w:ascii="Times New Roman" w:cs="Times New Roman" w:eastAsia="Times New Roman" w:hAnsi="Times New Roman"/>
          <w:sz w:val="18"/>
          <w:szCs w:val="18"/>
          <w:b w:val="1"/>
          <w:bCs w:val="1"/>
          <w:color w:val="auto"/>
        </w:rPr>
        <w:t>Response</w:t>
      </w:r>
      <w:r>
        <w:rPr>
          <w:rFonts w:ascii="Times New Roman" w:cs="Times New Roman" w:eastAsia="Times New Roman" w:hAnsi="Times New Roman"/>
          <w:sz w:val="18"/>
          <w:szCs w:val="18"/>
          <w:color w:val="auto"/>
        </w:rPr>
        <w:t>: The Company respectfully advises the Staff that (i) with respect to Core FFO, the “other non-core revenue adjustments” in recent periods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comprised of deferred rent adjustments related to a customer bankruptcy, joint venture development fees included in gains, and lease termination fees, and the “other non-core expense adjustments” in recent periods are comprised of write-offs associated with bankrupt or terminated customers, non-recurring legal expenses and adjustments to reflect our proportionate share of transaction costs associated with noncontrolling interests and (ii) with respect to Adjusted EBITDA, the “other non-core adjustments, net” in recent periods are comprised of foreign exchange net unrealized gains/losses attributable to remeasurement, deferred rent adjustments related to a customer bankruptcy, write-offs associated with bankrupt or terminated customers, non-recurring legal expenses, gain on sale of land option and lease termination fees.</w:t>
      </w:r>
    </w:p>
    <w:p>
      <w:pPr>
        <w:sectPr>
          <w:pgSz w:w="11900" w:h="16838" w:orient="portrait"/>
          <w:cols w:equalWidth="0" w:num="1">
            <w:col w:w="10964"/>
          </w:cols>
          <w:pgMar w:left="436" w:top="229" w:right="499" w:bottom="1440" w:gutter="0" w:footer="0" w:header="0"/>
        </w:sectPr>
      </w:pPr>
    </w:p>
    <w:bookmarkStart w:id="1" w:name="page2"/>
    <w:bookmarkEnd w:id="1"/>
    <w:p>
      <w:pPr>
        <w:ind w:left="4"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intends to include footnotes in future filings that disclose the larger components of “other non-core revenue adjustments,” “other non-core expense adjustments” and “other non-core adjustments, net.” Attached hereto as Schedule A is a version of the reconciliations of Core FFO and Adjusted EBITDA that appeared in the Company’s earnings release and supplemental furnished with the First Quarter 2024 Form 8-K, which has been marked to show the type of revised disclosure that the Company intends to include in future filings (text in bold underline indicating the additions).</w:t>
      </w:r>
    </w:p>
    <w:p>
      <w:pPr>
        <w:spacing w:after="0" w:line="16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If you have any questions or comments with regard to these responses or other matters, please call the undersigned at (213) 891-8371.</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Julian Kleindorfer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Julian Kleindorfer, Esq.</w:t>
      </w:r>
    </w:p>
    <w:p>
      <w:pPr>
        <w:spacing w:after="0" w:line="2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of Latham &amp; Watkins LLP</w:t>
      </w:r>
    </w:p>
    <w:p>
      <w:pPr>
        <w:spacing w:after="0" w:line="234" w:lineRule="exact"/>
        <w:rPr>
          <w:sz w:val="20"/>
          <w:szCs w:val="20"/>
          <w:color w:val="auto"/>
        </w:rPr>
      </w:pPr>
    </w:p>
    <w:p>
      <w:pPr>
        <w:ind w:left="444" w:right="6760" w:hanging="444"/>
        <w:spacing w:after="0" w:line="261" w:lineRule="auto"/>
        <w:tabs>
          <w:tab w:leader="none" w:pos="4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Power, President &amp; Chief Executive Officer Matthew Mercier, Chief Financial Officer</w:t>
      </w:r>
    </w:p>
    <w:p>
      <w:pPr>
        <w:ind w:left="444" w:right="5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Jeannie Lee, Executive Vice President, General Counsel and Secretary Brent T. Epstein, Latham &amp; Watkins LLP</w:t>
      </w:r>
    </w:p>
    <w:p>
      <w:pPr>
        <w:sectPr>
          <w:pgSz w:w="11900" w:h="16838" w:orient="portrait"/>
          <w:cols w:equalWidth="0" w:num="1">
            <w:col w:w="10984"/>
          </w:cols>
          <w:pgMar w:left="436" w:top="270"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FFO and CORE FFO</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and in thousands, except per share data</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Net Income to Funds From Operations (FFO)</w:t>
            </w:r>
          </w:p>
        </w:tc>
        <w:tc>
          <w:tcPr>
            <w:tcW w:w="158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80" w:type="dxa"/>
            <w:vAlign w:val="bottom"/>
            <w:tcBorders>
              <w:bottom w:val="single" w:sz="8" w:color="auto"/>
            </w:tcBorders>
            <w:vMerge w:val="continue"/>
          </w:tcPr>
          <w:p>
            <w:pPr>
              <w:spacing w:after="0"/>
              <w:rPr>
                <w:sz w:val="12"/>
                <w:szCs w:val="12"/>
                <w:color w:val="auto"/>
              </w:rPr>
            </w:pPr>
          </w:p>
        </w:tc>
        <w:tc>
          <w:tcPr>
            <w:tcW w:w="15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040" w:type="dxa"/>
            <w:vAlign w:val="bottom"/>
            <w:gridSpan w:val="3"/>
          </w:tcPr>
          <w:p>
            <w:pPr>
              <w:jc w:val="right"/>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31-Mar-24</w:t>
            </w:r>
          </w:p>
        </w:tc>
        <w:tc>
          <w:tcPr>
            <w:tcW w:w="880" w:type="dxa"/>
            <w:vAlign w:val="bottom"/>
            <w:gridSpan w:val="3"/>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31-Dec-23</w:t>
            </w:r>
          </w:p>
        </w:tc>
        <w:tc>
          <w:tcPr>
            <w:tcW w:w="120" w:type="dxa"/>
            <w:vAlign w:val="bottom"/>
          </w:tcPr>
          <w:p>
            <w:pPr>
              <w:spacing w:after="0"/>
              <w:rPr>
                <w:sz w:val="12"/>
                <w:szCs w:val="12"/>
                <w:color w:val="auto"/>
              </w:rPr>
            </w:pPr>
          </w:p>
        </w:tc>
        <w:tc>
          <w:tcPr>
            <w:tcW w:w="1020" w:type="dxa"/>
            <w:vAlign w:val="bottom"/>
            <w:gridSpan w:val="3"/>
          </w:tcPr>
          <w:p>
            <w:pPr>
              <w:jc w:val="right"/>
              <w:ind w:right="360"/>
              <w:spacing w:after="0" w:line="129" w:lineRule="exact"/>
              <w:rPr>
                <w:sz w:val="20"/>
                <w:szCs w:val="20"/>
                <w:color w:val="auto"/>
              </w:rPr>
            </w:pPr>
            <w:r>
              <w:rPr>
                <w:rFonts w:ascii="Times New Roman" w:cs="Times New Roman" w:eastAsia="Times New Roman" w:hAnsi="Times New Roman"/>
                <w:sz w:val="14"/>
                <w:szCs w:val="14"/>
                <w:b w:val="1"/>
                <w:bCs w:val="1"/>
                <w:color w:val="auto"/>
              </w:rPr>
              <w:t>30-Sep-23</w:t>
            </w:r>
          </w:p>
        </w:tc>
        <w:tc>
          <w:tcPr>
            <w:tcW w:w="880" w:type="dxa"/>
            <w:vAlign w:val="bottom"/>
            <w:gridSpan w:val="3"/>
          </w:tcPr>
          <w:p>
            <w:pPr>
              <w:jc w:val="right"/>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30-Jun-23</w:t>
            </w:r>
          </w:p>
        </w:tc>
        <w:tc>
          <w:tcPr>
            <w:tcW w:w="120" w:type="dxa"/>
            <w:vAlign w:val="bottom"/>
          </w:tcPr>
          <w:p>
            <w:pPr>
              <w:spacing w:after="0"/>
              <w:rPr>
                <w:sz w:val="12"/>
                <w:szCs w:val="12"/>
                <w:color w:val="auto"/>
              </w:rPr>
            </w:pPr>
          </w:p>
        </w:tc>
        <w:tc>
          <w:tcPr>
            <w:tcW w:w="6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31-Mar-23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 / (Loss) Available to Common Stockholders</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271,327</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18,122</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723,440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99"/>
              </w:rPr>
              <w:t>108,003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58,547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6,200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16,300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Real estate related depreciation &amp; amortization </w:t>
            </w:r>
            <w:r>
              <w:rPr>
                <w:rFonts w:ascii="Times New Roman" w:cs="Times New Roman" w:eastAsia="Times New Roman" w:hAnsi="Times New Roman"/>
                <w:sz w:val="25"/>
                <w:szCs w:val="25"/>
                <w:color w:val="auto"/>
                <w:vertAlign w:val="superscript"/>
              </w:rPr>
              <w:t>(1)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420,591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410,167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410,836</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424,044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412,192</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Reconciling items related to non-controlling interests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(8,017)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(13,388)</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Unconsolidated JV real estate related depreciation &amp; amortization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47,877</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64,833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43,215</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33,719</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 loss on real estate transactions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6"/>
              </w:rPr>
              <w:t>(286,704)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(810,688)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(89,946)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(7,825)</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113,000</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Funds From Operations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451,273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483,621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481,535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465,844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484,745</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and units outstanding - basic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318,469</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311,960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308,024</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301,593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297,180</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Weighted-average shares and units outstanding - diluted </w:t>
            </w:r>
            <w:r>
              <w:rPr>
                <w:rFonts w:ascii="Times New Roman" w:cs="Times New Roman" w:eastAsia="Times New Roman" w:hAnsi="Times New Roman"/>
                <w:sz w:val="25"/>
                <w:szCs w:val="25"/>
                <w:color w:val="auto"/>
                <w:vertAlign w:val="superscript"/>
              </w:rPr>
              <w:t>(2) (3)</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326,975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321,173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317,539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313,021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309,026</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Funds From Operations per share - basic</w:t>
            </w:r>
          </w:p>
        </w:tc>
        <w:tc>
          <w:tcPr>
            <w:tcW w:w="7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Funds From Operations per share - diluted </w:t>
            </w:r>
            <w:r>
              <w:rPr>
                <w:rFonts w:ascii="Times New Roman" w:cs="Times New Roman" w:eastAsia="Times New Roman" w:hAnsi="Times New Roman"/>
                <w:sz w:val="25"/>
                <w:szCs w:val="25"/>
                <w:b w:val="1"/>
                <w:bCs w:val="1"/>
                <w:color w:val="auto"/>
                <w:vertAlign w:val="superscript"/>
              </w:rPr>
              <w:t>(2) (3)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1.41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1.52</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8" w:right="43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3"/>
        </w:trPr>
        <w:tc>
          <w:tcPr>
            <w:tcW w:w="55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FFO to Core FFO</w:t>
            </w:r>
          </w:p>
        </w:tc>
        <w:tc>
          <w:tcPr>
            <w:tcW w:w="1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9"/>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5500" w:type="dxa"/>
            <w:vAlign w:val="bottom"/>
            <w:gridSpan w:val="5"/>
            <w:vMerge w:val="continue"/>
          </w:tcPr>
          <w:p>
            <w:pPr>
              <w:spacing w:after="0"/>
              <w:rPr>
                <w:sz w:val="11"/>
                <w:szCs w:val="11"/>
                <w:color w:val="auto"/>
              </w:rPr>
            </w:pPr>
          </w:p>
        </w:tc>
        <w:tc>
          <w:tcPr>
            <w:tcW w:w="1160" w:type="dxa"/>
            <w:vAlign w:val="bottom"/>
          </w:tcPr>
          <w:p>
            <w:pPr>
              <w:spacing w:after="0"/>
              <w:rPr>
                <w:sz w:val="11"/>
                <w:szCs w:val="11"/>
                <w:color w:val="auto"/>
              </w:rPr>
            </w:pPr>
          </w:p>
        </w:tc>
        <w:tc>
          <w:tcPr>
            <w:tcW w:w="840" w:type="dxa"/>
            <w:vAlign w:val="bottom"/>
            <w:gridSpan w:val="4"/>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31-Mar-24</w:t>
            </w:r>
          </w:p>
        </w:tc>
        <w:tc>
          <w:tcPr>
            <w:tcW w:w="820" w:type="dxa"/>
            <w:vAlign w:val="bottom"/>
            <w:gridSpan w:val="3"/>
          </w:tcPr>
          <w:p>
            <w:pPr>
              <w:jc w:val="right"/>
              <w:ind w:right="160"/>
              <w:spacing w:after="0" w:line="115" w:lineRule="exact"/>
              <w:rPr>
                <w:sz w:val="20"/>
                <w:szCs w:val="20"/>
                <w:color w:val="auto"/>
              </w:rPr>
            </w:pPr>
            <w:r>
              <w:rPr>
                <w:rFonts w:ascii="Times New Roman" w:cs="Times New Roman" w:eastAsia="Times New Roman" w:hAnsi="Times New Roman"/>
                <w:sz w:val="13"/>
                <w:szCs w:val="13"/>
                <w:b w:val="1"/>
                <w:bCs w:val="1"/>
                <w:color w:val="auto"/>
              </w:rPr>
              <w:t>31-Dec-23</w:t>
            </w:r>
          </w:p>
        </w:tc>
        <w:tc>
          <w:tcPr>
            <w:tcW w:w="80" w:type="dxa"/>
            <w:vAlign w:val="bottom"/>
          </w:tcPr>
          <w:p>
            <w:pPr>
              <w:spacing w:after="0"/>
              <w:rPr>
                <w:sz w:val="11"/>
                <w:szCs w:val="11"/>
                <w:color w:val="auto"/>
              </w:rPr>
            </w:pPr>
          </w:p>
        </w:tc>
        <w:tc>
          <w:tcPr>
            <w:tcW w:w="920" w:type="dxa"/>
            <w:vAlign w:val="bottom"/>
            <w:gridSpan w:val="3"/>
          </w:tcPr>
          <w:p>
            <w:pPr>
              <w:jc w:val="right"/>
              <w:ind w:right="260"/>
              <w:spacing w:after="0" w:line="115" w:lineRule="exact"/>
              <w:rPr>
                <w:sz w:val="20"/>
                <w:szCs w:val="20"/>
                <w:color w:val="auto"/>
              </w:rPr>
            </w:pPr>
            <w:r>
              <w:rPr>
                <w:rFonts w:ascii="Times New Roman" w:cs="Times New Roman" w:eastAsia="Times New Roman" w:hAnsi="Times New Roman"/>
                <w:sz w:val="13"/>
                <w:szCs w:val="13"/>
                <w:b w:val="1"/>
                <w:bCs w:val="1"/>
                <w:color w:val="auto"/>
              </w:rPr>
              <w:t>30-Sep-23</w:t>
            </w:r>
          </w:p>
        </w:tc>
        <w:tc>
          <w:tcPr>
            <w:tcW w:w="820" w:type="dxa"/>
            <w:vAlign w:val="bottom"/>
            <w:gridSpan w:val="3"/>
          </w:tcPr>
          <w:p>
            <w:pPr>
              <w:jc w:val="right"/>
              <w:ind w:right="180"/>
              <w:spacing w:after="0" w:line="115" w:lineRule="exact"/>
              <w:rPr>
                <w:sz w:val="20"/>
                <w:szCs w:val="20"/>
                <w:color w:val="auto"/>
              </w:rPr>
            </w:pPr>
            <w:r>
              <w:rPr>
                <w:rFonts w:ascii="Times New Roman" w:cs="Times New Roman" w:eastAsia="Times New Roman" w:hAnsi="Times New Roman"/>
                <w:sz w:val="13"/>
                <w:szCs w:val="13"/>
                <w:b w:val="1"/>
                <w:bCs w:val="1"/>
                <w:color w:val="auto"/>
              </w:rPr>
              <w:t>30-Jun-23</w:t>
            </w:r>
          </w:p>
        </w:tc>
        <w:tc>
          <w:tcPr>
            <w:tcW w:w="80" w:type="dxa"/>
            <w:vAlign w:val="bottom"/>
          </w:tcPr>
          <w:p>
            <w:pPr>
              <w:spacing w:after="0"/>
              <w:rPr>
                <w:sz w:val="11"/>
                <w:szCs w:val="11"/>
                <w:color w:val="auto"/>
              </w:rPr>
            </w:pPr>
          </w:p>
        </w:tc>
        <w:tc>
          <w:tcPr>
            <w:tcW w:w="68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b w:val="1"/>
                <w:bCs w:val="1"/>
                <w:color w:val="auto"/>
              </w:rPr>
              <w:t>31-Mar-23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auto"/>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Funds From Operations</w:t>
            </w:r>
          </w:p>
        </w:tc>
        <w:tc>
          <w:tcPr>
            <w:tcW w:w="116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$451,273</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$483,621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$481,535</w:t>
            </w:r>
          </w:p>
        </w:tc>
        <w:tc>
          <w:tcPr>
            <w:tcW w:w="2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$465,844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7"/>
              </w:rPr>
              <w:t>$484,745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500" w:type="dxa"/>
            <w:vAlign w:val="bottom"/>
            <w:gridSpan w:val="5"/>
          </w:tcPr>
          <w:p>
            <w:pPr>
              <w:spacing w:after="0" w:line="176" w:lineRule="exact"/>
              <w:rPr>
                <w:sz w:val="20"/>
                <w:szCs w:val="20"/>
                <w:color w:val="auto"/>
              </w:rPr>
            </w:pPr>
            <w:r>
              <w:rPr>
                <w:rFonts w:ascii="Times New Roman" w:cs="Times New Roman" w:eastAsia="Times New Roman" w:hAnsi="Times New Roman"/>
                <w:sz w:val="18"/>
                <w:szCs w:val="18"/>
                <w:color w:val="auto"/>
              </w:rPr>
              <w:t xml:space="preserve">Other non-core revenue adjustments </w:t>
            </w:r>
            <w:r>
              <w:rPr>
                <w:rFonts w:ascii="Times New Roman" w:cs="Times New Roman" w:eastAsia="Times New Roman" w:hAnsi="Times New Roman"/>
                <w:sz w:val="11"/>
                <w:szCs w:val="11"/>
                <w:b w:val="1"/>
                <w:bCs w:val="1"/>
                <w:color w:val="auto"/>
              </w:rPr>
              <w:t>(4)</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3"/>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spacing w:after="0"/>
              <w:rPr>
                <w:sz w:val="15"/>
                <w:szCs w:val="15"/>
                <w:color w:val="auto"/>
              </w:rPr>
            </w:pPr>
          </w:p>
        </w:tc>
        <w:tc>
          <w:tcPr>
            <w:tcW w:w="72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5"/>
                <w:szCs w:val="15"/>
                <w:color w:val="auto"/>
              </w:rPr>
            </w:pPr>
          </w:p>
        </w:tc>
        <w:tc>
          <w:tcPr>
            <w:tcW w:w="740" w:type="dxa"/>
            <w:vAlign w:val="bottom"/>
            <w:gridSpan w:val="2"/>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27,454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1"/>
        </w:trPr>
        <w:tc>
          <w:tcPr>
            <w:tcW w:w="2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31,839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17,764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12,267</w:t>
            </w:r>
          </w:p>
        </w:tc>
        <w:tc>
          <w:tcPr>
            <w:tcW w:w="0" w:type="dxa"/>
            <w:vAlign w:val="bottom"/>
          </w:tcPr>
          <w:p>
            <w:pPr>
              <w:spacing w:after="0"/>
              <w:rPr>
                <w:sz w:val="1"/>
                <w:szCs w:val="1"/>
                <w:color w:val="auto"/>
              </w:rPr>
            </w:pPr>
          </w:p>
        </w:tc>
      </w:tr>
      <w:tr>
        <w:trPr>
          <w:trHeight w:val="216"/>
        </w:trPr>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from early extinguishment of debt</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0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Severance, equity acceleration and legal expenses </w:t>
            </w:r>
            <w:r>
              <w:rPr>
                <w:rFonts w:ascii="Times New Roman" w:cs="Times New Roman" w:eastAsia="Times New Roman" w:hAnsi="Times New Roman"/>
                <w:sz w:val="25"/>
                <w:szCs w:val="25"/>
                <w:color w:val="auto"/>
                <w:vertAlign w:val="superscript"/>
              </w:rPr>
              <w:t>(5)</w:t>
            </w: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16"/>
        </w:trPr>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(Gain) / Loss on FX revaluation</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33,602</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(24,804)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(6,778)</w:t>
            </w:r>
          </w:p>
        </w:tc>
        <w:tc>
          <w:tcPr>
            <w:tcW w:w="0" w:type="dxa"/>
            <w:vAlign w:val="bottom"/>
          </w:tcPr>
          <w:p>
            <w:pPr>
              <w:spacing w:after="0"/>
              <w:rPr>
                <w:sz w:val="1"/>
                <w:szCs w:val="1"/>
                <w:color w:val="auto"/>
              </w:rPr>
            </w:pPr>
          </w:p>
        </w:tc>
      </w:tr>
      <w:tr>
        <w:trPr>
          <w:trHeight w:val="216"/>
        </w:trPr>
        <w:tc>
          <w:tcPr>
            <w:tcW w:w="55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Other non-core expense adjustments </w:t>
            </w:r>
            <w:r>
              <w:rPr>
                <w:rFonts w:ascii="Times New Roman" w:cs="Times New Roman" w:eastAsia="Times New Roman" w:hAnsi="Times New Roman"/>
                <w:sz w:val="11"/>
                <w:szCs w:val="11"/>
                <w:b w:val="1"/>
                <w:bCs w:val="1"/>
                <w:color w:val="auto"/>
              </w:rPr>
              <w:t>(6)</w:t>
            </w: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10,052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line="176" w:lineRule="exact"/>
              <w:rPr>
                <w:sz w:val="20"/>
                <w:szCs w:val="20"/>
                <w:color w:val="auto"/>
              </w:rPr>
            </w:pPr>
            <w:r>
              <w:rPr>
                <w:rFonts w:ascii="Times New Roman" w:cs="Times New Roman" w:eastAsia="Times New Roman" w:hAnsi="Times New Roman"/>
                <w:sz w:val="18"/>
                <w:szCs w:val="18"/>
                <w:color w:val="auto"/>
              </w:rPr>
              <w:t>1,956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1,295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655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66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Core Funds From Operations</w:t>
            </w:r>
          </w:p>
        </w:tc>
        <w:tc>
          <w:tcPr>
            <w:tcW w:w="140" w:type="dxa"/>
            <w:vAlign w:val="bottom"/>
            <w:tcBorders>
              <w:top w:val="single" w:sz="8" w:color="auto"/>
            </w:tcBorders>
            <w:gridSpan w:val="2"/>
          </w:tcPr>
          <w:p>
            <w:pPr>
              <w:spacing w:after="0"/>
              <w:rPr>
                <w:sz w:val="19"/>
                <w:szCs w:val="19"/>
                <w:color w:val="auto"/>
              </w:rPr>
            </w:pPr>
          </w:p>
        </w:tc>
        <w:tc>
          <w:tcPr>
            <w:tcW w:w="270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$532,153</w:t>
            </w:r>
          </w:p>
        </w:tc>
        <w:tc>
          <w:tcPr>
            <w:tcW w:w="16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$508,417</w:t>
            </w: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$500,402</w:t>
            </w:r>
          </w:p>
        </w:tc>
        <w:tc>
          <w:tcPr>
            <w:tcW w:w="22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$507,501</w:t>
            </w: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$493,500</w:t>
            </w:r>
          </w:p>
        </w:tc>
        <w:tc>
          <w:tcPr>
            <w:tcW w:w="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Weighted-average shares and units outstanding - diluted </w:t>
            </w:r>
            <w:r>
              <w:rPr>
                <w:rFonts w:ascii="Times New Roman" w:cs="Times New Roman" w:eastAsia="Times New Roman" w:hAnsi="Times New Roman"/>
                <w:sz w:val="25"/>
                <w:szCs w:val="25"/>
                <w:color w:val="auto"/>
                <w:vertAlign w:val="superscript"/>
              </w:rPr>
              <w:t>(2) (3)</w:t>
            </w:r>
          </w:p>
        </w:tc>
        <w:tc>
          <w:tcPr>
            <w:tcW w:w="1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319,138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312,356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308,539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301,806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297,382</w:t>
            </w:r>
          </w:p>
        </w:tc>
        <w:tc>
          <w:tcPr>
            <w:tcW w:w="0" w:type="dxa"/>
            <w:vAlign w:val="bottom"/>
          </w:tcPr>
          <w:p>
            <w:pPr>
              <w:spacing w:after="0"/>
              <w:rPr>
                <w:sz w:val="1"/>
                <w:szCs w:val="1"/>
                <w:color w:val="auto"/>
              </w:rPr>
            </w:pPr>
          </w:p>
        </w:tc>
      </w:tr>
      <w:tr>
        <w:trPr>
          <w:trHeight w:val="349"/>
        </w:trPr>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 xml:space="preserve">Core Funds From Operations per share - diluted </w:t>
            </w:r>
            <w:r>
              <w:rPr>
                <w:rFonts w:ascii="Times New Roman" w:cs="Times New Roman" w:eastAsia="Times New Roman" w:hAnsi="Times New Roman"/>
                <w:sz w:val="26"/>
                <w:szCs w:val="26"/>
                <w:b w:val="1"/>
                <w:bCs w:val="1"/>
                <w:color w:val="auto"/>
                <w:vertAlign w:val="superscript"/>
              </w:rPr>
              <w:t>(2)</w:t>
            </w:r>
          </w:p>
        </w:tc>
        <w:tc>
          <w:tcPr>
            <w:tcW w:w="1160" w:type="dxa"/>
            <w:vAlign w:val="bottom"/>
          </w:tcPr>
          <w:p>
            <w:pPr>
              <w:spacing w:after="0"/>
              <w:rPr>
                <w:sz w:val="24"/>
                <w:szCs w:val="24"/>
                <w:color w:val="auto"/>
              </w:rPr>
            </w:pPr>
          </w:p>
        </w:tc>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6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w:t>
            </w:r>
          </w:p>
        </w:tc>
        <w:tc>
          <w:tcPr>
            <w:tcW w:w="22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   Real Estate Related Depreciation &amp; Amortization</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40" w:type="dxa"/>
            <w:vAlign w:val="bottom"/>
            <w:gridSpan w:val="4"/>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0"/>
              </w:rPr>
              <w:t>31-Mar-24</w:t>
            </w:r>
          </w:p>
        </w:tc>
        <w:tc>
          <w:tcPr>
            <w:tcW w:w="82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31-Dec-23</w:t>
            </w:r>
          </w:p>
        </w:tc>
        <w:tc>
          <w:tcPr>
            <w:tcW w:w="80" w:type="dxa"/>
            <w:vAlign w:val="bottom"/>
          </w:tcPr>
          <w:p>
            <w:pPr>
              <w:spacing w:after="0"/>
              <w:rPr>
                <w:sz w:val="12"/>
                <w:szCs w:val="12"/>
                <w:color w:val="auto"/>
              </w:rPr>
            </w:pPr>
          </w:p>
        </w:tc>
        <w:tc>
          <w:tcPr>
            <w:tcW w:w="92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30-Sep-23</w:t>
            </w:r>
          </w:p>
        </w:tc>
        <w:tc>
          <w:tcPr>
            <w:tcW w:w="820" w:type="dxa"/>
            <w:vAlign w:val="bottom"/>
            <w:gridSpan w:val="3"/>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30-Jun-23</w:t>
            </w:r>
          </w:p>
        </w:tc>
        <w:tc>
          <w:tcPr>
            <w:tcW w:w="8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31-Mar-23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 per income statement</w:t>
            </w:r>
          </w:p>
        </w:tc>
        <w:tc>
          <w:tcPr>
            <w:tcW w:w="1160" w:type="dxa"/>
            <w:vAlign w:val="bottom"/>
            <w:tcBorders>
              <w:top w:val="single" w:sz="8" w:color="CCEEFF"/>
              <w:right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$431,102</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$420,475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$420,613</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$432,573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$421,198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Non-real estate depreciation</w:t>
            </w:r>
          </w:p>
        </w:tc>
        <w:tc>
          <w:tcPr>
            <w:tcW w:w="1160" w:type="dxa"/>
            <w:vAlign w:val="bottom"/>
          </w:tcPr>
          <w:p>
            <w:pPr>
              <w:spacing w:after="0"/>
              <w:rPr>
                <w:sz w:val="18"/>
                <w:szCs w:val="18"/>
                <w:color w:val="auto"/>
              </w:rPr>
            </w:pP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(10,511)</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(9,777)</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(9,006)</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Real Estate Related Depreciation &amp; Amortization</w:t>
            </w:r>
          </w:p>
        </w:tc>
        <w:tc>
          <w:tcPr>
            <w:tcW w:w="1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$420,591</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$410,167</w:t>
            </w:r>
          </w:p>
        </w:tc>
        <w:tc>
          <w:tcPr>
            <w:tcW w:w="10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$410,836</w:t>
            </w:r>
          </w:p>
        </w:tc>
        <w:tc>
          <w:tcPr>
            <w:tcW w:w="8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$424,044</w:t>
            </w:r>
          </w:p>
        </w:tc>
        <w:tc>
          <w:tcPr>
            <w:tcW w:w="8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$412,192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80" w:hanging="424"/>
        <w:spacing w:after="0" w:line="256"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Teraco’s minority indirect shareholders have the right to put their shares in an upstream parent company of Teraco to Digital Realty in exchange for cash or the equivalent value of shares of Digital Realty common stock, or a combination thereof. US GAAP requires Digital Realty to assume the put right is settled in shares for purposes of calculating diluted EPS. This same approach was utilized to calculate FFO/share. The potential future dilutive impact associated with this put right will be excluded from Core FFO and AFFO until settlement occurs – causing diluted share count to be higher for FFO than for Core FFO and AFFO. When calculating diluted FFO, Teraco related minority interest is added back to the FFO numerator as the denominator assumes all shares have been put back to Digital Realty.</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638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31-Mar-24</w:t>
            </w:r>
          </w:p>
        </w:tc>
        <w:tc>
          <w:tcPr>
            <w:tcW w:w="6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31-Dec-23</w:t>
            </w:r>
          </w:p>
        </w:tc>
        <w:tc>
          <w:tcPr>
            <w:tcW w:w="340" w:type="dxa"/>
            <w:vAlign w:val="bottom"/>
          </w:tcPr>
          <w:p>
            <w:pPr>
              <w:spacing w:after="0"/>
              <w:rPr>
                <w:sz w:val="12"/>
                <w:szCs w:val="12"/>
                <w:color w:val="auto"/>
              </w:rPr>
            </w:pPr>
          </w:p>
        </w:tc>
        <w:tc>
          <w:tcPr>
            <w:tcW w:w="96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30-Sep-23</w:t>
            </w:r>
          </w:p>
        </w:tc>
        <w:tc>
          <w:tcPr>
            <w:tcW w:w="9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30-Jun-23</w:t>
            </w:r>
          </w:p>
        </w:tc>
        <w:tc>
          <w:tcPr>
            <w:tcW w:w="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31-Mar-23</w:t>
            </w:r>
          </w:p>
        </w:tc>
        <w:tc>
          <w:tcPr>
            <w:tcW w:w="60" w:type="dxa"/>
            <w:vAlign w:val="bottom"/>
          </w:tcPr>
          <w:p>
            <w:pPr>
              <w:spacing w:after="0"/>
              <w:rPr>
                <w:sz w:val="12"/>
                <w:szCs w:val="12"/>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Teraco noncontrolling share of FFO</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7,135</w:t>
            </w:r>
          </w:p>
        </w:tc>
        <w:tc>
          <w:tcPr>
            <w:tcW w:w="3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$ 11,537</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9,645</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11,069</w:t>
            </w:r>
          </w:p>
        </w:tc>
        <w:tc>
          <w:tcPr>
            <w:tcW w:w="60" w:type="dxa"/>
            <w:vAlign w:val="bottom"/>
            <w:tcBorders>
              <w:top w:val="single" w:sz="8" w:color="CCEEFF"/>
            </w:tcBorders>
            <w:shd w:val="clear" w:color="auto" w:fill="CCEEFF"/>
          </w:tcPr>
          <w:p>
            <w:pPr>
              <w:spacing w:after="0"/>
              <w:rPr>
                <w:sz w:val="18"/>
                <w:szCs w:val="18"/>
                <w:color w:val="auto"/>
              </w:rPr>
            </w:pPr>
          </w:p>
        </w:tc>
      </w:tr>
      <w:tr>
        <w:trPr>
          <w:trHeight w:val="232"/>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Teraco related minority interest</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9,768</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7,135</w:t>
            </w:r>
          </w:p>
        </w:tc>
        <w:tc>
          <w:tcPr>
            <w:tcW w:w="3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$ 11,537</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9,645</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11,069</w:t>
            </w:r>
          </w:p>
        </w:tc>
        <w:tc>
          <w:tcPr>
            <w:tcW w:w="60" w:type="dxa"/>
            <w:vAlign w:val="bottom"/>
          </w:tcPr>
          <w:p>
            <w:pPr>
              <w:spacing w:after="0"/>
              <w:rPr>
                <w:sz w:val="20"/>
                <w:szCs w:val="20"/>
                <w:color w:val="auto"/>
              </w:rPr>
            </w:pPr>
          </w:p>
        </w:tc>
      </w:tr>
    </w:tbl>
    <w:p>
      <w:pPr>
        <w:spacing w:after="0" w:line="216" w:lineRule="exact"/>
        <w:rPr>
          <w:sz w:val="20"/>
          <w:szCs w:val="20"/>
          <w:color w:val="auto"/>
        </w:rPr>
      </w:pPr>
    </w:p>
    <w:p>
      <w:pPr>
        <w:ind w:left="424" w:right="40" w:hanging="424"/>
        <w:spacing w:after="0" w:line="25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periods presented, we have excluded the effect of dilutive series J, series K and series L preferred stock, as applicable, that may be converted into common stock upon the occurrence of specified change in control transactions as described in the articles supplementary governing the series J, series K and series L preferred stock, as applicable, which we consider highly improbable. See above for calculations of FFO and the share count detail section that follows the reconciliation of Core FFO to AFFO for calculations of weighted average common stock and units outstanding. For definitions and discussion of FFO and Core FFO, see the Definitions section.</w:t>
      </w:r>
    </w:p>
    <w:p>
      <w:pPr>
        <w:spacing w:after="0" w:line="3" w:lineRule="exact"/>
        <w:rPr>
          <w:rFonts w:ascii="Times New Roman" w:cs="Times New Roman" w:eastAsia="Times New Roman" w:hAnsi="Times New Roman"/>
          <w:sz w:val="18"/>
          <w:szCs w:val="18"/>
          <w:color w:val="auto"/>
        </w:rPr>
      </w:pPr>
    </w:p>
    <w:p>
      <w:pPr>
        <w:ind w:left="424" w:right="760" w:hanging="424"/>
        <w:spacing w:after="0" w:line="250" w:lineRule="auto"/>
        <w:tabs>
          <w:tab w:leader="none" w:pos="424" w:val="left"/>
        </w:tabs>
        <w:numPr>
          <w:ilvl w:val="0"/>
          <w:numId w:val="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Includes deferred rent adjustments related to a customer bankruptcy, joint venture development fees included in gains and lease termination fees.</w:t>
      </w: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severance and other charges related to the departure of company executives and integration-related severance.</w:t>
      </w:r>
    </w:p>
    <w:p>
      <w:pPr>
        <w:spacing w:after="0" w:line="9" w:lineRule="exact"/>
        <w:rPr>
          <w:rFonts w:ascii="Times New Roman" w:cs="Times New Roman" w:eastAsia="Times New Roman" w:hAnsi="Times New Roman"/>
          <w:sz w:val="18"/>
          <w:szCs w:val="18"/>
          <w:color w:val="auto"/>
        </w:rPr>
      </w:pPr>
    </w:p>
    <w:p>
      <w:pPr>
        <w:ind w:left="424" w:right="580" w:hanging="424"/>
        <w:spacing w:after="0" w:line="260" w:lineRule="auto"/>
        <w:tabs>
          <w:tab w:leader="none" w:pos="424" w:val="left"/>
        </w:tabs>
        <w:numPr>
          <w:ilvl w:val="0"/>
          <w:numId w:val="4"/>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Includes write-offs associated with bankrupt or terminated customers, non-recurring legal expenses and adjustments to reflect our proportionate share of transaction costs associated with noncontrolling interests.</w:t>
      </w:r>
    </w:p>
    <w:p>
      <w:pPr>
        <w:sectPr>
          <w:pgSz w:w="11900" w:h="16838" w:orient="portrait"/>
          <w:cols w:equalWidth="0" w:num="1">
            <w:col w:w="11024"/>
          </w:cols>
          <w:pgMar w:left="436" w:top="263" w:right="43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ADJUSTED EBITDA</w:t>
      </w:r>
    </w:p>
    <w:p>
      <w:pPr>
        <w:spacing w:after="0" w:line="248" w:lineRule="exact"/>
        <w:rPr>
          <w:sz w:val="20"/>
          <w:szCs w:val="20"/>
          <w:color w:val="auto"/>
        </w:rPr>
      </w:pPr>
    </w:p>
    <w:p>
      <w:pPr>
        <w:ind w:left="4" w:right="3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Reconciliation of Earnings Before Interest, Taxes, Depreciation, and Amortization and Financial Ratios </w:t>
      </w:r>
      <w:r>
        <w:rPr>
          <w:rFonts w:ascii="Times New Roman" w:cs="Times New Roman" w:eastAsia="Times New Roman" w:hAnsi="Times New Roman"/>
          <w:sz w:val="18"/>
          <w:szCs w:val="18"/>
          <w:i w:val="1"/>
          <w:iCs w:val="1"/>
          <w:color w:val="auto"/>
        </w:rPr>
        <w:t>Unaudited and Dollars in thousands</w:t>
      </w:r>
    </w:p>
    <w:p>
      <w:pPr>
        <w:spacing w:after="0" w:line="179"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Reconciliation of Earnings Before Interest, Taxes,</w:t>
            </w:r>
          </w:p>
        </w:tc>
        <w:tc>
          <w:tcPr>
            <w:tcW w:w="8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558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5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Depreciation &amp; Amortization (EBITDA) </w:t>
            </w:r>
            <w:r>
              <w:rPr>
                <w:rFonts w:ascii="Times New Roman" w:cs="Times New Roman" w:eastAsia="Times New Roman" w:hAnsi="Times New Roman"/>
                <w:sz w:val="10"/>
                <w:szCs w:val="10"/>
                <w:b w:val="1"/>
                <w:bCs w:val="1"/>
                <w:color w:val="auto"/>
              </w:rPr>
              <w:t>(1)</w:t>
            </w:r>
          </w:p>
        </w:tc>
        <w:tc>
          <w:tcPr>
            <w:tcW w:w="82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31-Mar-24</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31-Dec-23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30-Sep-23</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30-Jun-23</w:t>
            </w:r>
          </w:p>
        </w:tc>
        <w:tc>
          <w:tcPr>
            <w:tcW w:w="8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31-Mar-23</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Income / (Loss) Available to Common Stockholders</w:t>
            </w:r>
          </w:p>
        </w:tc>
        <w:tc>
          <w:tcPr>
            <w:tcW w:w="8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$ 271,327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723,440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$108,003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109,535</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113,638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110,767</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111,116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102,220</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early extinguishment of debt</w:t>
            </w:r>
          </w:p>
        </w:tc>
        <w:tc>
          <w:tcPr>
            <w:tcW w:w="1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22,413</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21,454</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431,102</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420,475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420,613</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432,573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421,198</w:t>
            </w:r>
          </w:p>
        </w:tc>
        <w:tc>
          <w:tcPr>
            <w:tcW w:w="0" w:type="dxa"/>
            <w:vAlign w:val="bottom"/>
          </w:tcPr>
          <w:p>
            <w:pPr>
              <w:spacing w:after="0"/>
              <w:rPr>
                <w:sz w:val="1"/>
                <w:szCs w:val="1"/>
                <w:color w:val="auto"/>
              </w:rPr>
            </w:pPr>
          </w:p>
        </w:tc>
      </w:tr>
      <w:tr>
        <w:trPr>
          <w:trHeight w:val="216"/>
        </w:trPr>
        <w:tc>
          <w:tcPr>
            <w:tcW w:w="55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$ 835,446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572,958</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1,272,048</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$667,866</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603,420</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Unconsolidated JV real estate related depreciation &amp; amortization</w:t>
            </w:r>
          </w:p>
        </w:tc>
        <w:tc>
          <w:tcPr>
            <w:tcW w:w="1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47,877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64,833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43,214</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35,386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33,719</w:t>
            </w:r>
          </w:p>
        </w:tc>
        <w:tc>
          <w:tcPr>
            <w:tcW w:w="0" w:type="dxa"/>
            <w:vAlign w:val="bottom"/>
          </w:tcPr>
          <w:p>
            <w:pPr>
              <w:spacing w:after="0"/>
              <w:rPr>
                <w:sz w:val="1"/>
                <w:szCs w:val="1"/>
                <w:color w:val="auto"/>
              </w:rPr>
            </w:pPr>
          </w:p>
        </w:tc>
      </w:tr>
      <w:tr>
        <w:trPr>
          <w:trHeight w:val="216"/>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Unconsolidated JV interest expense and tax expense</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34,271</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42,140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27,000</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18,556</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 equity acceleration and legal expenses</w:t>
            </w:r>
          </w:p>
        </w:tc>
        <w:tc>
          <w:tcPr>
            <w:tcW w:w="1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2,682</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4,155</w:t>
            </w:r>
          </w:p>
        </w:tc>
        <w:tc>
          <w:tcPr>
            <w:tcW w:w="0" w:type="dxa"/>
            <w:vAlign w:val="bottom"/>
          </w:tcPr>
          <w:p>
            <w:pPr>
              <w:spacing w:after="0"/>
              <w:rPr>
                <w:sz w:val="1"/>
                <w:szCs w:val="1"/>
                <w:color w:val="auto"/>
              </w:rPr>
            </w:pPr>
          </w:p>
        </w:tc>
      </w:tr>
      <w:tr>
        <w:trPr>
          <w:trHeight w:val="216"/>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Transaction and integration expenses</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31,839</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14,465</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17,764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12,267</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 loss on sale of investments</w:t>
            </w:r>
          </w:p>
        </w:tc>
        <w:tc>
          <w:tcPr>
            <w:tcW w:w="1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(277,787)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(810,688)</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Provision for impairment</w:t>
            </w:r>
          </w:p>
        </w:tc>
        <w:tc>
          <w:tcPr>
            <w:tcW w:w="8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113,000</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55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 xml:space="preserve">Other non-core adjustments, net </w:t>
            </w:r>
            <w:r>
              <w:rPr>
                <w:rFonts w:ascii="Times New Roman" w:cs="Times New Roman" w:eastAsia="Times New Roman" w:hAnsi="Times New Roman"/>
                <w:sz w:val="11"/>
                <w:szCs w:val="11"/>
                <w:b w:val="1"/>
                <w:bCs w:val="1"/>
                <w:color w:val="auto"/>
              </w:rPr>
              <w:t>(2)</w:t>
            </w:r>
          </w:p>
        </w:tc>
        <w:tc>
          <w:tcPr>
            <w:tcW w:w="1780" w:type="dxa"/>
            <w:vAlign w:val="bottom"/>
            <w:gridSpan w:val="3"/>
            <w:shd w:val="clear" w:color="auto" w:fill="CCEEFF"/>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21,608</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line="176" w:lineRule="exact"/>
              <w:rPr>
                <w:sz w:val="20"/>
                <w:szCs w:val="20"/>
                <w:color w:val="auto"/>
              </w:rPr>
            </w:pPr>
            <w:r>
              <w:rPr>
                <w:rFonts w:ascii="Times New Roman" w:cs="Times New Roman" w:eastAsia="Times New Roman" w:hAnsi="Times New Roman"/>
                <w:sz w:val="18"/>
                <w:szCs w:val="18"/>
                <w:color w:val="auto"/>
              </w:rPr>
              <w:t>(35,439)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rPr>
              <w:t>1,719</w:t>
            </w:r>
          </w:p>
        </w:tc>
        <w:tc>
          <w:tcPr>
            <w:tcW w:w="820" w:type="dxa"/>
            <w:vAlign w:val="bottom"/>
            <w:gridSpan w:val="2"/>
            <w:shd w:val="clear" w:color="auto" w:fill="CCEEFF"/>
          </w:tcPr>
          <w:p>
            <w:pPr>
              <w:jc w:val="right"/>
              <w:ind w:right="140"/>
              <w:spacing w:after="0" w:line="176" w:lineRule="exact"/>
              <w:rPr>
                <w:sz w:val="20"/>
                <w:szCs w:val="20"/>
                <w:color w:val="auto"/>
              </w:rPr>
            </w:pPr>
            <w:r>
              <w:rPr>
                <w:rFonts w:ascii="Times New Roman" w:cs="Times New Roman" w:eastAsia="Times New Roman" w:hAnsi="Times New Roman"/>
                <w:sz w:val="18"/>
                <w:szCs w:val="18"/>
                <w:color w:val="auto"/>
              </w:rPr>
              <w:t>22,132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8"/>
                <w:szCs w:val="18"/>
                <w:color w:val="auto"/>
              </w:rPr>
              <w:t>(14,604)</w:t>
            </w:r>
          </w:p>
        </w:tc>
        <w:tc>
          <w:tcPr>
            <w:tcW w:w="0" w:type="dxa"/>
            <w:vAlign w:val="bottom"/>
          </w:tcPr>
          <w:p>
            <w:pPr>
              <w:spacing w:after="0"/>
              <w:rPr>
                <w:sz w:val="1"/>
                <w:szCs w:val="1"/>
                <w:color w:val="auto"/>
              </w:rPr>
            </w:pPr>
          </w:p>
        </w:tc>
      </w:tr>
      <w:tr>
        <w:trPr>
          <w:trHeight w:val="216"/>
        </w:trPr>
        <w:tc>
          <w:tcPr>
            <w:tcW w:w="23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40" w:type="dxa"/>
            <w:vAlign w:val="bottom"/>
            <w:tcBorders>
              <w:top w:val="single" w:sz="8" w:color="auto"/>
            </w:tcBorders>
          </w:tcPr>
          <w:p>
            <w:pPr>
              <w:spacing w:after="0"/>
              <w:rPr>
                <w:sz w:val="18"/>
                <w:szCs w:val="18"/>
                <w:color w:val="auto"/>
              </w:rPr>
            </w:pPr>
          </w:p>
        </w:tc>
        <w:tc>
          <w:tcPr>
            <w:tcW w:w="310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6,329</w:t>
            </w: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(8,419)</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12,320</w:t>
            </w:r>
          </w:p>
        </w:tc>
        <w:tc>
          <w:tcPr>
            <w:tcW w:w="82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(2,538)</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5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10,181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10,181</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10,181</w:t>
            </w:r>
          </w:p>
        </w:tc>
        <w:tc>
          <w:tcPr>
            <w:tcW w:w="0" w:type="dxa"/>
            <w:vAlign w:val="bottom"/>
          </w:tcPr>
          <w:p>
            <w:pPr>
              <w:spacing w:after="0"/>
              <w:rPr>
                <w:sz w:val="1"/>
                <w:szCs w:val="1"/>
                <w:color w:val="auto"/>
              </w:rPr>
            </w:pPr>
          </w:p>
        </w:tc>
      </w:tr>
      <w:tr>
        <w:trPr>
          <w:trHeight w:val="238"/>
        </w:trPr>
        <w:tc>
          <w:tcPr>
            <w:tcW w:w="55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$ 710,556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699,509</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685,943</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$696,604</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5"/>
              </w:rPr>
              <w:t>667,804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definitions and discussion of EBITDA and Adjusted EBITDA, see the Definitions section.</w:t>
      </w:r>
    </w:p>
    <w:p>
      <w:pPr>
        <w:spacing w:after="0" w:line="27" w:lineRule="exact"/>
        <w:rPr>
          <w:rFonts w:ascii="Times New Roman" w:cs="Times New Roman" w:eastAsia="Times New Roman" w:hAnsi="Times New Roman"/>
          <w:sz w:val="18"/>
          <w:szCs w:val="18"/>
          <w:color w:val="auto"/>
        </w:rPr>
      </w:pPr>
    </w:p>
    <w:p>
      <w:pPr>
        <w:ind w:left="424" w:right="220" w:hanging="424"/>
        <w:spacing w:after="0" w:line="255" w:lineRule="auto"/>
        <w:tabs>
          <w:tab w:leader="none" w:pos="424" w:val="left"/>
        </w:tabs>
        <w:numPr>
          <w:ilvl w:val="0"/>
          <w:numId w:val="5"/>
        </w:numPr>
        <w:rPr>
          <w:rFonts w:ascii="Times New Roman" w:cs="Times New Roman" w:eastAsia="Times New Roman" w:hAnsi="Times New Roman"/>
          <w:sz w:val="18"/>
          <w:szCs w:val="18"/>
          <w:b w:val="1"/>
          <w:bCs w:val="1"/>
          <w:u w:val="single" w:color="auto"/>
          <w:color w:val="auto"/>
        </w:rPr>
      </w:pPr>
      <w:r>
        <w:rPr>
          <w:rFonts w:ascii="Times New Roman" w:cs="Times New Roman" w:eastAsia="Times New Roman" w:hAnsi="Times New Roman"/>
          <w:sz w:val="18"/>
          <w:szCs w:val="18"/>
          <w:b w:val="1"/>
          <w:bCs w:val="1"/>
          <w:u w:val="single" w:color="auto"/>
          <w:color w:val="auto"/>
        </w:rPr>
        <w:t>Includes foreign exchange net unrealized gains/losses attributable to remeasurement, deferred rent adjustments related to a customer bankruptcy, write-offs associated with bankrupt or terminated customers, non-recurring legal expenses, gain on sale of land option and lease termination fees.</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29"/>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2024-08-20T23:11:44Z</dcterms:created>
  <dcterms:modified xsi:type="dcterms:W3CDTF">2024-08-20T23:11:44Z</dcterms:modified>
</cp:coreProperties>
</file>