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2344"/>
        <w:spacing w:after="0"/>
        <w:rPr>
          <w:sz w:val="20"/>
          <w:szCs w:val="20"/>
          <w:color w:val="auto"/>
        </w:rPr>
      </w:pPr>
      <w:r>
        <w:rPr>
          <w:rFonts w:ascii="Times New Roman" w:cs="Times New Roman" w:eastAsia="Times New Roman" w:hAnsi="Times New Roman"/>
          <w:sz w:val="43"/>
          <w:szCs w:val="43"/>
          <w:b w:val="1"/>
          <w:bCs w:val="1"/>
          <w:color w:val="auto"/>
        </w:rPr>
        <w:t>DIGITAL REALTY TRUST, INC.</w:t>
      </w:r>
    </w:p>
    <w:p>
      <w:pPr>
        <w:spacing w:after="0" w:line="113" w:lineRule="exact"/>
        <w:rPr>
          <w:sz w:val="24"/>
          <w:szCs w:val="24"/>
          <w:color w:val="auto"/>
        </w:rPr>
      </w:pPr>
    </w:p>
    <w:p>
      <w:pPr>
        <w:ind w:left="2424"/>
        <w:spacing w:after="0"/>
        <w:rPr>
          <w:sz w:val="20"/>
          <w:szCs w:val="20"/>
          <w:color w:val="auto"/>
        </w:rPr>
      </w:pPr>
      <w:r>
        <w:rPr>
          <w:rFonts w:ascii="Times New Roman" w:cs="Times New Roman" w:eastAsia="Times New Roman" w:hAnsi="Times New Roman"/>
          <w:sz w:val="43"/>
          <w:szCs w:val="43"/>
          <w:b w:val="1"/>
          <w:bCs w:val="1"/>
          <w:color w:val="auto"/>
        </w:rPr>
        <w:t>DIGITAL REALTY TRUST, L.P.</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6"/>
        </w:trPr>
        <w:tc>
          <w:tcPr>
            <w:tcW w:w="2840" w:type="dxa"/>
            <w:vAlign w:val="bottom"/>
          </w:tcPr>
          <w:p>
            <w:pPr>
              <w:jc w:val="center"/>
              <w:ind w:right="1098"/>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368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001-32336</w:t>
            </w:r>
          </w:p>
        </w:tc>
        <w:tc>
          <w:tcPr>
            <w:tcW w:w="2260" w:type="dxa"/>
            <w:vAlign w:val="bottom"/>
          </w:tcPr>
          <w:p>
            <w:pPr>
              <w:jc w:val="center"/>
              <w:ind w:left="1039"/>
              <w:spacing w:after="0"/>
              <w:rPr>
                <w:sz w:val="20"/>
                <w:szCs w:val="20"/>
                <w:color w:val="auto"/>
              </w:rPr>
            </w:pPr>
            <w:r>
              <w:rPr>
                <w:rFonts w:ascii="Times New Roman" w:cs="Times New Roman" w:eastAsia="Times New Roman" w:hAnsi="Times New Roman"/>
                <w:sz w:val="18"/>
                <w:szCs w:val="18"/>
                <w:b w:val="1"/>
                <w:bCs w:val="1"/>
                <w:color w:val="auto"/>
                <w:w w:val="98"/>
              </w:rPr>
              <w:t>26-0081711</w:t>
            </w:r>
          </w:p>
        </w:tc>
      </w:tr>
      <w:tr>
        <w:trPr>
          <w:trHeight w:val="214"/>
        </w:trPr>
        <w:tc>
          <w:tcPr>
            <w:tcW w:w="2840" w:type="dxa"/>
            <w:vAlign w:val="bottom"/>
          </w:tcPr>
          <w:p>
            <w:pPr>
              <w:jc w:val="center"/>
              <w:ind w:right="1098"/>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368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000-54023</w:t>
            </w:r>
          </w:p>
        </w:tc>
        <w:tc>
          <w:tcPr>
            <w:tcW w:w="2260" w:type="dxa"/>
            <w:vAlign w:val="bottom"/>
          </w:tcPr>
          <w:p>
            <w:pPr>
              <w:jc w:val="center"/>
              <w:ind w:left="1039"/>
              <w:spacing w:after="0"/>
              <w:rPr>
                <w:sz w:val="20"/>
                <w:szCs w:val="20"/>
                <w:color w:val="auto"/>
              </w:rPr>
            </w:pPr>
            <w:r>
              <w:rPr>
                <w:rFonts w:ascii="Times New Roman" w:cs="Times New Roman" w:eastAsia="Times New Roman" w:hAnsi="Times New Roman"/>
                <w:sz w:val="18"/>
                <w:szCs w:val="18"/>
                <w:b w:val="1"/>
                <w:bCs w:val="1"/>
                <w:color w:val="auto"/>
                <w:w w:val="98"/>
              </w:rPr>
              <w:t>20-2402955</w:t>
            </w:r>
          </w:p>
        </w:tc>
      </w:tr>
      <w:tr>
        <w:trPr>
          <w:trHeight w:val="148"/>
        </w:trPr>
        <w:tc>
          <w:tcPr>
            <w:tcW w:w="2840" w:type="dxa"/>
            <w:vAlign w:val="bottom"/>
          </w:tcPr>
          <w:p>
            <w:pPr>
              <w:jc w:val="center"/>
              <w:ind w:right="111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68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260" w:type="dxa"/>
            <w:vAlign w:val="bottom"/>
          </w:tcPr>
          <w:p>
            <w:pPr>
              <w:jc w:val="center"/>
              <w:ind w:left="103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right="109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68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260" w:type="dxa"/>
            <w:vAlign w:val="bottom"/>
          </w:tcPr>
          <w:p>
            <w:pPr>
              <w:jc w:val="center"/>
              <w:ind w:left="103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840" w:type="dxa"/>
            <w:vAlign w:val="bottom"/>
          </w:tcPr>
          <w:p>
            <w:pPr>
              <w:jc w:val="center"/>
              <w:ind w:left="558"/>
              <w:spacing w:after="0"/>
              <w:rPr>
                <w:sz w:val="20"/>
                <w:szCs w:val="20"/>
                <w:color w:val="auto"/>
              </w:rPr>
            </w:pPr>
            <w:r>
              <w:rPr>
                <w:rFonts w:ascii="Times New Roman" w:cs="Times New Roman" w:eastAsia="Times New Roman" w:hAnsi="Times New Roman"/>
                <w:sz w:val="18"/>
                <w:szCs w:val="18"/>
                <w:b w:val="1"/>
                <w:bCs w:val="1"/>
                <w:color w:val="auto"/>
                <w:w w:val="98"/>
              </w:rPr>
              <w:t>601 West 2</w:t>
            </w:r>
            <w:r>
              <w:rPr>
                <w:rFonts w:ascii="Times New Roman" w:cs="Times New Roman" w:eastAsia="Times New Roman" w:hAnsi="Times New Roman"/>
                <w:sz w:val="22"/>
                <w:szCs w:val="22"/>
                <w:b w:val="1"/>
                <w:bCs w:val="1"/>
                <w:color w:val="auto"/>
                <w:w w:val="98"/>
                <w:vertAlign w:val="superscript"/>
              </w:rPr>
              <w:t>nd</w:t>
            </w:r>
            <w:r>
              <w:rPr>
                <w:rFonts w:ascii="Times New Roman" w:cs="Times New Roman" w:eastAsia="Times New Roman" w:hAnsi="Times New Roman"/>
                <w:sz w:val="18"/>
                <w:szCs w:val="18"/>
                <w:b w:val="1"/>
                <w:bCs w:val="1"/>
                <w:color w:val="auto"/>
                <w:w w:val="98"/>
              </w:rPr>
              <w:t xml:space="preserve"> Street, Floor 32</w:t>
            </w:r>
          </w:p>
        </w:tc>
        <w:tc>
          <w:tcPr>
            <w:tcW w:w="36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7"/>
        </w:trPr>
        <w:tc>
          <w:tcPr>
            <w:tcW w:w="2840" w:type="dxa"/>
            <w:vAlign w:val="bottom"/>
          </w:tcPr>
          <w:p>
            <w:pPr>
              <w:jc w:val="center"/>
              <w:ind w:left="558"/>
              <w:spacing w:after="0"/>
              <w:rPr>
                <w:sz w:val="20"/>
                <w:szCs w:val="20"/>
                <w:color w:val="auto"/>
              </w:rPr>
            </w:pPr>
            <w:r>
              <w:rPr>
                <w:rFonts w:ascii="Times New Roman" w:cs="Times New Roman" w:eastAsia="Times New Roman" w:hAnsi="Times New Roman"/>
                <w:sz w:val="18"/>
                <w:szCs w:val="18"/>
                <w:b w:val="1"/>
                <w:bCs w:val="1"/>
                <w:color w:val="auto"/>
                <w:w w:val="98"/>
              </w:rPr>
              <w:t>Austin, Texas</w:t>
            </w:r>
          </w:p>
        </w:tc>
        <w:tc>
          <w:tcPr>
            <w:tcW w:w="3680" w:type="dxa"/>
            <w:vAlign w:val="bottom"/>
          </w:tcPr>
          <w:p>
            <w:pPr>
              <w:spacing w:after="0"/>
              <w:rPr>
                <w:sz w:val="19"/>
                <w:szCs w:val="19"/>
                <w:color w:val="auto"/>
              </w:rPr>
            </w:pPr>
          </w:p>
        </w:tc>
        <w:tc>
          <w:tcPr>
            <w:tcW w:w="2260" w:type="dxa"/>
            <w:vAlign w:val="bottom"/>
          </w:tcPr>
          <w:p>
            <w:pPr>
              <w:jc w:val="right"/>
              <w:ind w:right="1179"/>
              <w:spacing w:after="0"/>
              <w:rPr>
                <w:sz w:val="20"/>
                <w:szCs w:val="20"/>
                <w:color w:val="auto"/>
              </w:rPr>
            </w:pPr>
            <w:r>
              <w:rPr>
                <w:rFonts w:ascii="Times New Roman" w:cs="Times New Roman" w:eastAsia="Times New Roman" w:hAnsi="Times New Roman"/>
                <w:sz w:val="18"/>
                <w:szCs w:val="18"/>
                <w:b w:val="1"/>
                <w:bCs w:val="1"/>
                <w:color w:val="auto"/>
              </w:rPr>
              <w:t>78701</w:t>
            </w:r>
          </w:p>
        </w:tc>
      </w:tr>
      <w:tr>
        <w:trPr>
          <w:trHeight w:val="190"/>
        </w:trPr>
        <w:tc>
          <w:tcPr>
            <w:tcW w:w="6520" w:type="dxa"/>
            <w:vAlign w:val="bottom"/>
            <w:gridSpan w:val="2"/>
          </w:tcPr>
          <w:p>
            <w:pPr>
              <w:jc w:val="center"/>
              <w:ind w:right="29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60" w:type="dxa"/>
            <w:vAlign w:val="bottom"/>
          </w:tcPr>
          <w:p>
            <w:pPr>
              <w:jc w:val="center"/>
              <w:ind w:right="61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2840" w:type="dxa"/>
            <w:vAlign w:val="bottom"/>
          </w:tcPr>
          <w:p>
            <w:pPr>
              <w:spacing w:after="0"/>
              <w:rPr>
                <w:sz w:val="24"/>
                <w:szCs w:val="24"/>
                <w:color w:val="auto"/>
              </w:rPr>
            </w:pPr>
          </w:p>
        </w:tc>
        <w:tc>
          <w:tcPr>
            <w:tcW w:w="368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(737) 281-0101</w:t>
            </w:r>
          </w:p>
        </w:tc>
        <w:tc>
          <w:tcPr>
            <w:tcW w:w="2260" w:type="dxa"/>
            <w:vAlign w:val="bottom"/>
          </w:tcPr>
          <w:p>
            <w:pPr>
              <w:spacing w:after="0"/>
              <w:rPr>
                <w:sz w:val="24"/>
                <w:szCs w:val="24"/>
                <w:color w:val="auto"/>
              </w:rPr>
            </w:pPr>
          </w:p>
        </w:tc>
      </w:tr>
      <w:tr>
        <w:trPr>
          <w:trHeight w:val="190"/>
        </w:trPr>
        <w:tc>
          <w:tcPr>
            <w:tcW w:w="2840" w:type="dxa"/>
            <w:vAlign w:val="bottom"/>
          </w:tcPr>
          <w:p>
            <w:pPr>
              <w:spacing w:after="0"/>
              <w:rPr>
                <w:sz w:val="16"/>
                <w:szCs w:val="16"/>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2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DLR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Series J Cumulative Redeemable Preferred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DLR Pr J</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Series K Cumulative Redeemable Preferred Stock</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DLR Pr K</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Series L Cumulative Redeemable Preferred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DLR Pr L</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ectPr>
          <w:pgSz w:w="11900" w:h="16838" w:orient="portrait"/>
          <w:cols w:equalWidth="0" w:num="1">
            <w:col w:w="11024"/>
          </w:cols>
          <w:pgMar w:left="436" w:top="443" w:right="439" w:bottom="455" w:gutter="0" w:footer="0" w:header="0"/>
        </w:sectPr>
      </w:pPr>
    </w:p>
    <w:p>
      <w:pPr>
        <w:spacing w:after="0" w:line="18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Digital Realty Trust, Inc.:</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07" w:lineRule="exact"/>
        <w:rPr>
          <w:sz w:val="24"/>
          <w:szCs w:val="24"/>
          <w:color w:val="auto"/>
        </w:rPr>
      </w:pPr>
    </w:p>
    <w:p>
      <w:pPr>
        <w:sectPr>
          <w:pgSz w:w="11900" w:h="16838" w:orient="portrait"/>
          <w:cols w:equalWidth="0" w:num="2">
            <w:col w:w="3324" w:space="720"/>
            <w:col w:w="6980"/>
          </w:cols>
          <w:pgMar w:left="436" w:top="443" w:right="439" w:bottom="455" w:gutter="0" w:footer="0" w:header="0"/>
          <w:type w:val="continuous"/>
        </w:sectPr>
      </w:pPr>
    </w:p>
    <w:p>
      <w:pPr>
        <w:spacing w:after="0" w:line="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Digital Realty Trust, L.P.:</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7" w:lineRule="exact"/>
        <w:rPr>
          <w:sz w:val="24"/>
          <w:szCs w:val="24"/>
          <w:color w:val="auto"/>
        </w:rPr>
      </w:pPr>
    </w:p>
    <w:p>
      <w:pPr>
        <w:sectPr>
          <w:pgSz w:w="11900" w:h="16838" w:orient="portrait"/>
          <w:cols w:equalWidth="0" w:num="2">
            <w:col w:w="3324" w:space="720"/>
            <w:col w:w="6980"/>
          </w:cols>
          <w:pgMar w:left="436" w:top="443" w:right="439" w:bottom="455" w:gutter="0" w:footer="0" w:header="0"/>
          <w:type w:val="continuous"/>
        </w:sectPr>
      </w:pPr>
    </w:p>
    <w:p>
      <w:pPr>
        <w:spacing w:after="0" w:line="3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Digital Realty Trust, Inc.:  </w:t>
      </w:r>
      <w:r>
        <w:rPr>
          <w:rFonts w:ascii="MS PGothic" w:cs="MS PGothic" w:eastAsia="MS PGothic" w:hAnsi="MS PGothic"/>
          <w:sz w:val="18"/>
          <w:szCs w:val="18"/>
          <w:color w:val="auto"/>
        </w:rPr>
        <w:t>☐</w:t>
      </w:r>
    </w:p>
    <w:p>
      <w:pPr>
        <w:spacing w:after="0" w:line="96"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Digital Realty Trust, L.P.: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202565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455"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Unless otherwise indicated or unless the context requires otherwise, all references in this report to “we,” “us,” “our,” “our company,” “the company” or “Digital Realty” refer to Digital Realty Trust, Inc., together with its consolidated subsidiaries, including Digital Realty Trust, L.P., our “operating partnership.”</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information included under the heading “Recent Developments—Purchase of Blackstone’s Interest in Digital Carver Dulles 9 and Digital Carver Brickyard Joint Ventures” in Item 8.01 below is incorporated by reference herein. The issuances of securities by the company described under such heading in Item 8.01 below is exempt from registration pursuant to Section 4(a)(2) of the Securities Act of 1933, as amended, as transactions not involving a public offering.</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June 29, 2026, the company issued a press release regarding certain pending and completed transactions. The press release is attached hereto as Exhibit 99.1 and incorporated by reference herein.</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including the exhibit attached hereto, is furnished pursuant to Item 7.01 and shall not be deemed “filed” for any purpose, including for the purposes of Section 18 of the Exchange Act, or otherwise subject to the liabilities of that Section, and shall not be deemed incorporated by reference into any filing under the Securities Act or the Exchange Act regardless of any general incorporation language in such filing.</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of Blackstone’s Interest in Digital Carver Dulles 9 and Digital Carver Brickyard Joint Ventures</w:t>
      </w:r>
    </w:p>
    <w:p>
      <w:pPr>
        <w:spacing w:after="0" w:line="11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On June 29, 2026, the company entered into an agreement to purchase from affiliates of Blackstone Inc. (collectively, “Blackstone”) all of Blackstone’s blended 64% interests in the Digital Carver Dulles 9 and Digital Carver Brickyard joint ventures (the “joint ventures”) (resulting in each of the joint ventures becoming a wholly owned subsidiary of the operating partnership) for consideration consisting of $1,231 million in cash and a number of shares of the company’s non-voting common stock calculated by dividing $2,346,087,437.83 by the last reported sale price of the company’s common stock on the New York Stock Exchange on June 29, 2026, rounded down to the nearest whole number (such purchase, the “Blackstone Acquisition”). Pursuant to the terms of the Articles Supplementary governing the non-voting common stock, each share of non-voting common stock will automatically convert into one share of the company’s common stock upon its transfer by Blackstone or one of its affiliates to a person that is not affiliated with Blackstone. The non-voting common stock will have rights and preferences that are identical to the company’s existing common stock, except that it will have no voting rights and it will automatically convert into common stock upon such transfer. The purchase is expected to be completed on June 30, 2026 and is subject to customary closing conditions.</w:t>
      </w:r>
    </w:p>
    <w:p>
      <w:pPr>
        <w:spacing w:after="0" w:line="194"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The joint ventures are developing three hyperscale data centers totaling 288 megawatts of expected critical IT capacity located in Northern Virginia, the world’s largest data center market. Upon the completion of the purchase, the company will have acquired Blackstone’s 80% interest in two data centers in Manassas and Blackstone’s 50% interest in the Digital Dulles campus in Sterling, each with 96 megawatts of IT capacity, at a gross value of $7.8 billion (including assumed debt and estimated remaining capital expenditures to complete the ongoing development), reflecting an estimated initial stabilized capitalization rate of over 6.5%. Two of the data centers are expected to stabilize in the first half of 2027, with the third expected to stabilize in the first half of 2028. The three data centers are 100% leased to three distinct investment-grade hyperscale customers. Through this</w:t>
      </w:r>
    </w:p>
    <w:p>
      <w:pPr>
        <w:sectPr>
          <w:pgSz w:w="11900" w:h="16838" w:orient="portrait"/>
          <w:cols w:equalWidth="0" w:num="1">
            <w:col w:w="10980"/>
          </w:cols>
          <w:pgMar w:left="440" w:top="293" w:right="479" w:bottom="1440" w:gutter="0" w:footer="0" w:header="0"/>
        </w:sectPr>
      </w:pPr>
    </w:p>
    <w:bookmarkStart w:id="2" w:name="page3"/>
    <w:bookmarkEnd w:id="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transaction, the company will increase its exposure to newly developed capacity in the world’s largest data center market, supported by 15-year leases with a blended average Aa3/AA- credit-rating and 3.6% annual rent escalators (in each case, weighted by annualized rent), that are expected to enhance the company’s growth. We expect the purchase of these interests to be leverage neutral and accretive to core funds from operations (“Core FFO”) per share in each of 2027 and 2028, as development is completed and rents commence.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Acquisitions</w:t>
      </w:r>
    </w:p>
    <w:p>
      <w:pPr>
        <w:spacing w:after="0" w:line="119"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On April 30, 2026, the operating partnership acquired approximately 1,440 acres of land for development at Astra Enterprise Park, located near Kansas City for approximately $377.6 million in cash and 517,475 common units of partnership interest in the operating partnership. The operating partnership has entered into an agreement with the local utility for 600 megawatts of utility power to be provided by early 2028, and two gigawatts expected at full capacity.</w:t>
      </w:r>
    </w:p>
    <w:p>
      <w:pPr>
        <w:spacing w:after="0" w:line="180"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On June 22, 2026, the company agreed to issue 3,425,031 shares of its common stock to purchase approximately 16% of the interests in the company’s Teraco joint venture pursuant to an existing put right exercised by certain of the joint venture’s third party partners. The purchase will increase the company’s interest in Africa’s leading data center platform to 77%. The company has agreed to provide the applicable sellers resale registration rights with respect to the common stock to be issued. Completion of the repurchase transaction is expected to occur in the second half of 2026, subject to customary closing conditions and regulatory approvals.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Program Activity</w:t>
      </w:r>
    </w:p>
    <w:p>
      <w:pPr>
        <w:spacing w:after="0" w:line="119"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From April 29, 2026 through June 29, 2026, the company sold 6,158,839 shares of its common stock under its “at the market” equity program, resulting in net proceeds of approximately $1.2 billion after deducting commissions. The company used and intends to use the net proceeds from the sale of such shares to temporarily repay borrowings outstanding under its global revolving credit facilities, acquire additional properties or businesses, fund development opportunities, and to provide for working capital and other general corporate purposes, including potentially for the repayment of other debt or the repurchase, redemption, or retirement of outstanding debt securities, or a combination of the foregoing.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the Blackstone Acquisition</w:t>
      </w:r>
    </w:p>
    <w:p>
      <w:pPr>
        <w:spacing w:after="0" w:line="11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development-stage hyperscale data centers acquired in the Blackstone joint venture acquisition may not be completed on schedule or within budget, and the anticipated benefits of the acquisition may not be realized.</w:t>
      </w:r>
    </w:p>
    <w:p>
      <w:pPr>
        <w:spacing w:after="0" w:line="5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joint ventures we will wholly own following the purchase from Blackstone own three hyperscale data centers that have not yet been completed, and development-stage projects are subject to various risks, including construction delays, cost overruns, supply chain disruptions, failure to obtain necessary permits or approvals, labor shortages and other factors beyond our control. As a part of our underwriting of the Blackstone acquisition, we developed an estimate of the initial stabilized capitalization rate for the data centers we will wholly-own following such acquisition. We calculate the estimated stabilized capitalization rate as the percentage of the gross value of the purchase price represented by the estimated initial full year stabilized net operating income. This estimate is based on a number of assumptions, including the timely and on-budget completion of all space to be constructed and estimated stabilized operating expenses. If development costs are higher than expected or completion is delayed, the timing and amount of cash flows from these properties could be adversely affected, including if one or more tenants fails to commence paying rent on the expected schedule or if the data centers do not achieve full operational status as expected. Although the three hyperscale data centers are currently leased to subsidiaries of investment-grade rated parent entities, the parent entities are not parties to the leases and may not be legally obligated to satisfy the lease obligations of their subsidiaries upon a default. In the event of a default by a lessee, there can be no assurance that the parent entity would choose or be obligated to cure such default. In addition, market conditions for data center leasing in Northern Virginia could change materially. As a result, our expectations regarding the initial stabilized capitalization rate and that the acquisition of Blackstone’s interests in the Digital Carver Dulles 9 and Digital Carver Brickyard joint ventures will be accretive to Core FFO per share in each of 2027 and 2028, as development is completed and rents commence, are subject to numerous risks and uncertainties, and there can be no assurance that these anticipated benefits will be realized on the expected timeline, including in 2027 and 2028, or at all.</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Current Report on Form 8-K contains certain “forward-looking” statements as that term is defined by Section 27A of the Securities Act and Section 21E of the Exchange Act of 1934, as amended (the “Exchange Act”). Statements that are predictive in nature, that depend on or relate to future events or conditions, or that include words such as “believes”, “anticipates”, “expects”, “may”, “will”, “would”, “should”, “estimates”, “could”, “intends”,</w:t>
      </w:r>
    </w:p>
    <w:p>
      <w:pPr>
        <w:sectPr>
          <w:pgSz w:w="11900" w:h="16838" w:orient="portrait"/>
          <w:cols w:equalWidth="0" w:num="1">
            <w:col w:w="10920"/>
          </w:cols>
          <w:pgMar w:left="440" w:top="297" w:right="539" w:bottom="1440" w:gutter="0" w:footer="0" w:header="0"/>
        </w:sectPr>
      </w:pPr>
    </w:p>
    <w:bookmarkStart w:id="3" w:name="page4"/>
    <w:bookmarkEnd w:id="3"/>
    <w:p>
      <w:pPr>
        <w:ind w:right="1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“plans” or other similar expressions are forward-looking statements. Forward-looking statements involve significant known and unknown risks and uncertainties that may cause the company’s actual results in future periods to differ materially from those projected or contemplated in the forward-looking statements as a result of, but not limited to, the following factors: risks and uncertainties related to market conditions and satisfaction of customary closing conditions related to the Teraco, Columbia Capital and Blackstone transactions; and the impact of legislative, regulatory and competitive changes and other risk factors relating to the industries in which we operate, as detailed from time to time in each of our reports filed with the SEC. There can be no assurance that the proposed transactions will be consummated on the terms described herein or at all.</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risks included here are not exhaustive, and additional factors could adversely affect our business and financial performance. We discussed a number of additional material risks in our annual report on Form 10-K for the year ended December 31, 2025, our quarterly report on Form 10-Q for the quarter ended March 31, 2026 and other filings with the Securities and Exchange Commission. Those risks continue to be relevant to our performance and financial condition. Moreover, we operate in a very competitive and rapidly changing environment. New risk factors emerge from time to time and it is not possible for management to predict all such risk factors, nor can it assess the impact of all such risk factors on the business or the extent to which any factor, or combination of factors, may cause actual results to differ materially from those contained in any forward-looking statements. We expressly disclaim any responsibility to update forward-looking statements, whether as a result of new information, future events or otherwise.</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8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367"/>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04"/>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10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34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1000"/>
          </w:cols>
          <w:pgMar w:left="440" w:top="297" w:right="459" w:bottom="1440" w:gutter="0" w:footer="0" w:header="0"/>
        </w:sectPr>
      </w:pPr>
    </w:p>
    <w:bookmarkStart w:id="4" w:name="page5"/>
    <w:bookmarkEnd w:id="4"/>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registrants have duly caused this report to be signed on their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29, 2026</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Digital Realty Trust,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JEANNIE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17145</wp:posOffset>
            </wp:positionV>
            <wp:extent cx="2794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Jeannie Lee</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Secretary</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Digital Realty Trust,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Digital Realty Trust, Inc.</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JEANNIE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17145</wp:posOffset>
            </wp:positionV>
            <wp:extent cx="2794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Jeannie Lee</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Secretary</w:t>
      </w:r>
    </w:p>
    <w:p>
      <w:pPr>
        <w:sectPr>
          <w:pgSz w:w="11900" w:h="16838" w:orient="portrait"/>
          <w:cols w:equalWidth="0" w:num="1">
            <w:col w:w="10600"/>
          </w:cols>
          <w:pgMar w:left="440" w:top="293" w:right="8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1448435" cy="514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843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Digital Realty Announces Purchase of Blackstone Interest in Three Northern Virginia Data Centers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Increases Ownership in New, High-Quality, Fully-Leased Hyperscale Assets in Top U.S. Market</w:t>
      </w:r>
    </w:p>
    <w:p>
      <w:pPr>
        <w:spacing w:after="0" w:line="22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AUSTIN, Texas and New York — June 29, 2026 </w:t>
      </w:r>
      <w:r>
        <w:rPr>
          <w:rFonts w:ascii="Times New Roman" w:cs="Times New Roman" w:eastAsia="Times New Roman" w:hAnsi="Times New Roman"/>
          <w:sz w:val="18"/>
          <w:szCs w:val="18"/>
          <w:color w:val="auto"/>
        </w:rPr>
        <w:t>— Digital Realty (NYSE: DLR), the world’s largest cloud- and carrier-neutral data center platform,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Blackstone Inc. (NYSE: BX) today announced that Digital Realty has agreed to purchase from Blackstone-affiliated funds managed by Real Estate, Infrastructure and Tactical Opportunities (“Blackstone”) a stake in three fully leased data centers containing 288 megawatts of total IT capacity in Northern Virginia at a gross value of $7.8 billion, reflecting an expected initial stabilized capitalization rate of over 6.5%. Total consideration paid to Blackstone for their blended 64% equity interest in the assets will be $3.5 billion, including $1.2 billion of cash and $2.3 billion in shares of Digital Realty, based on the last reported sale price of the company’s common stock on the New York Stock Exchange on June 29, 2026. The portfolio comprises two data centers in Manassas and one on the Digital Dulles campus in Sterling, each with 96 megawatts of IT capacity, that are 100% leased to three distinct investment grade hyperscale customers. The purchase is expected to be completed on June 30, 2026 and is subject to customary closing conditions.</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developed a strong partnership with Blackstone through the successful ongoing development of these assets, and we continue to work together across the remaining data center investments in our joint ventures in Northern Virginia, Paris and Frankfurt,” said Greg Wright, Chief Investment Officer of Digital Realty. “This transaction reflects the next phase of that relationship, allowing us to increase our ownership in a portfolio of fully leased, high quality hyperscale assets that extend our runway for growth and pipeline of product for the continued expansion of our strategic private capital platform.”</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Mike Forman, Global Head of Digital Infrastructure for Blackstone Real Estate and Greg Blank, Global Head of Digital Infrastructure for Blackstone Infrastructure, said: “We are thrilled with this transaction and the early success of our joint venture with Digital Realty. The Digital Realty team has been exceptional to work with, and we look forward to our continued partnership. The demand for digital infrastructure is even stronger today than when we established this joint venture in 2023, and we have deep conviction in the opportunity ahead.”</w:t>
      </w:r>
    </w:p>
    <w:p>
      <w:pPr>
        <w:spacing w:after="0" w:line="180"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Digital Realty agreed to purchase Blackstone’s 80% interest in two 96 megawatt data centers in Manassas, Virginia and a 50% interest in one 96 megawatt data center in Sterling, Virginia for $7.8 billion, at 100% share, including assumed debt and remaining capex to complete the ongoing development. Two of the data centers are expected to stabilize in the first half of 2027, with the third anticipated to stabilize in the first half of 2028. Through this transaction, Digital Realty will increase its exposure to new capacity in the world’s largest data center market, supported by 15-year leases with a blended average AA- customer credit rating and 3.6% annual rent escalators, that are expected to enhance the Company’s growth and visibility.</w:t>
      </w:r>
    </w:p>
    <w:p>
      <w:pPr>
        <w:spacing w:after="0" w:line="16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“This transaction is expected to be accretive to Core FFO per share in each of 2027 and 2028, as development is completed and rents commence,” said Matt Mercier, Chief Financial Officer of Digital Realty. “We also expect it to be accretive to contractual organic rent growth and portfolio quality, given long term leases with premier hyperscale customers in newly constructed assets, in the largest and most sought-after data center market. We believe that our execution to date and the recently announced strategic transactions, position Digital Realty to extend its growth trajectory.”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2</w:t>
      </w:r>
    </w:p>
    <w:p>
      <w:pPr>
        <w:sectPr>
          <w:pgSz w:w="11900" w:h="16838" w:orient="portrait"/>
          <w:cols w:equalWidth="0" w:num="1">
            <w:col w:w="11020"/>
          </w:cols>
          <w:pgMar w:left="440"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Digital Realty</w:t>
      </w:r>
    </w:p>
    <w:p>
      <w:pPr>
        <w:spacing w:after="0" w:line="12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8"/>
          <w:szCs w:val="18"/>
          <w:color w:val="auto"/>
        </w:rPr>
        <w:t>Digital Realty brings companies and data together by delivering the full spectrum of data center, colocation, and interconnection solutions. PlatformDIGITAL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company’s global data center platform, provides customers with a secure data meeting place and a proven Pervasive Datacenter Architecture (PDx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methodology for powering innovation, from cloud and digital transformation to emerging technologies like artificial intelligence (AI), and efficiently managing Data Gravity challenges. Digital Realty gives customers access to the connected data communities that matter to them through a global footprint of 300+ facilities in 55+ metros across 30+ countries on six continents. To learn more, visit </w:t>
      </w:r>
      <w:r>
        <w:rPr>
          <w:rFonts w:ascii="Times New Roman" w:cs="Times New Roman" w:eastAsia="Times New Roman" w:hAnsi="Times New Roman"/>
          <w:sz w:val="18"/>
          <w:szCs w:val="18"/>
          <w:u w:val="single" w:color="auto"/>
          <w:color w:val="auto"/>
        </w:rPr>
        <w:t>digitalrealty.com</w:t>
      </w:r>
      <w:r>
        <w:rPr>
          <w:rFonts w:ascii="Times New Roman" w:cs="Times New Roman" w:eastAsia="Times New Roman" w:hAnsi="Times New Roman"/>
          <w:sz w:val="18"/>
          <w:szCs w:val="18"/>
          <w:color w:val="auto"/>
        </w:rPr>
        <w:t xml:space="preserve"> or 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Blackstone</w:t>
      </w:r>
    </w:p>
    <w:p>
      <w:pPr>
        <w:spacing w:after="0" w:line="121"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 xml:space="preserve">Blackstone is the world’s largest alternative asset manager. Blackstone seeks to deliver compelling returns for institutional and individual investors by strengthening the companies in which the firm invests. Blackstone’s over $1.3 trillion in assets under management include global investment strategies focused on real estate, private equity, credit, infrastructure, life sciences, growth equity, secondaries and hedge funds. Further information is available at </w:t>
      </w:r>
      <w:r>
        <w:rPr>
          <w:rFonts w:ascii="Times New Roman" w:cs="Times New Roman" w:eastAsia="Times New Roman" w:hAnsi="Times New Roman"/>
          <w:sz w:val="18"/>
          <w:szCs w:val="18"/>
          <w:u w:val="single" w:color="auto"/>
          <w:color w:val="auto"/>
        </w:rPr>
        <w:t>www.blackstone.com</w:t>
      </w:r>
      <w:r>
        <w:rPr>
          <w:rFonts w:ascii="Times New Roman" w:cs="Times New Roman" w:eastAsia="Times New Roman" w:hAnsi="Times New Roman"/>
          <w:sz w:val="18"/>
          <w:szCs w:val="18"/>
          <w:color w:val="auto"/>
        </w:rPr>
        <w:t xml:space="preserve">. Follow @blackstone on </w:t>
      </w:r>
      <w:r>
        <w:rPr>
          <w:rFonts w:ascii="Times New Roman" w:cs="Times New Roman" w:eastAsia="Times New Roman" w:hAnsi="Times New Roman"/>
          <w:sz w:val="18"/>
          <w:szCs w:val="18"/>
          <w:u w:val="single" w:color="auto"/>
          <w:color w:val="auto"/>
        </w:rPr>
        <w:t>LinkedIn, X (Twitter),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Additional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Jordan Sadler / Jim Huseby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Digital Realty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+1 737 281 0101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InvestorRelations@digitalrealty.com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Helen Bleasdale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Digital Realty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+1 737 267 6822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hcbleasdale@digitalrealty.com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Kauth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Blackstone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+1 212 583 5395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jeffrey.kauth@blackstone.com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Paula Chirhart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Blackstone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+1 646 583 6684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paula.chirhart@blackstone.com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press release contains forward-looking statements based on current expectations, forecasts, and assumptions that involve risks and uncertainties which may cause actual results to differ materially from those described. These include statements related to the Blackstone acquisition, completion of development and stabilization, expected benefits, and the company’s strategy. For a description of these risks and uncertainties, please refer to the company’s filings with the U.S. Securities and Exchange Commission. The company undertakes no obligation to update any forward-looking statements.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2</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2026-06-29T17:25:46Z</dcterms:created>
  <dcterms:modified xsi:type="dcterms:W3CDTF">2026-06-29T17:25:46Z</dcterms:modified>
</cp:coreProperties>
</file>