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UNITED STATES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Washington, DC 20549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 of the Securities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Exchange Act of 1934 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832485</wp:posOffset>
            </wp:positionH>
            <wp:positionV relativeFrom="paragraph">
              <wp:posOffset>121920</wp:posOffset>
            </wp:positionV>
            <wp:extent cx="180340" cy="1797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right"/>
        <w:ind w:right="7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    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179705" cy="1797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17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6"/>
          <w:szCs w:val="16"/>
          <w:color w:val="auto"/>
        </w:rPr>
        <w:t xml:space="preserve"> 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113030</wp:posOffset>
            </wp:positionV>
            <wp:extent cx="7132320" cy="14827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48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2821305</wp:posOffset>
            </wp:positionH>
            <wp:positionV relativeFrom="paragraph">
              <wp:posOffset>175260</wp:posOffset>
            </wp:positionV>
            <wp:extent cx="1431290" cy="51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DIGITAL REALTY TRUST, INC.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(Name of Registrant as Specified In Its Charter)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130810</wp:posOffset>
            </wp:positionV>
            <wp:extent cx="7132320" cy="968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6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Payment of Filing Fee (Check all boxes that apply):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No fee required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Fee paid previously with preliminary materials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192405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79"/>
          </w:cols>
          <w:pgMar w:left="380" w:top="23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82035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0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81692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16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2026-04-17T15:05:21Z</dcterms:created>
  <dcterms:modified xsi:type="dcterms:W3CDTF">2026-04-17T15:05:21Z</dcterms:modified>
</cp:coreProperties>
</file>